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7C6F5" w14:textId="2DF2AE8F" w:rsidR="00B8238E" w:rsidRDefault="32334FBC" w:rsidP="75FCE63F">
      <w:pPr>
        <w:jc w:val="center"/>
        <w:rPr>
          <w:rFonts w:asciiTheme="minorHAnsi" w:hAnsiTheme="minorHAnsi" w:cstheme="minorBidi"/>
          <w:b/>
          <w:bCs/>
        </w:rPr>
      </w:pPr>
      <w:r w:rsidRPr="75FCE63F">
        <w:rPr>
          <w:rFonts w:asciiTheme="minorHAnsi" w:hAnsiTheme="minorHAnsi" w:cstheme="minorBidi"/>
          <w:b/>
          <w:bCs/>
        </w:rPr>
        <w:t>RFP</w:t>
      </w:r>
      <w:r w:rsidR="00B8238E" w:rsidRPr="75FCE63F">
        <w:rPr>
          <w:rFonts w:asciiTheme="minorHAnsi" w:hAnsiTheme="minorHAnsi" w:cstheme="minorBidi"/>
          <w:b/>
          <w:bCs/>
        </w:rPr>
        <w:t>-2</w:t>
      </w:r>
      <w:r w:rsidR="00AA374F" w:rsidRPr="75FCE63F">
        <w:rPr>
          <w:rFonts w:asciiTheme="minorHAnsi" w:hAnsiTheme="minorHAnsi" w:cstheme="minorBidi"/>
          <w:b/>
          <w:bCs/>
        </w:rPr>
        <w:t>5-7</w:t>
      </w:r>
      <w:r w:rsidR="1CE49617" w:rsidRPr="75FCE63F">
        <w:rPr>
          <w:rFonts w:asciiTheme="minorHAnsi" w:hAnsiTheme="minorHAnsi" w:cstheme="minorBidi"/>
          <w:b/>
          <w:bCs/>
        </w:rPr>
        <w:t>8986</w:t>
      </w:r>
    </w:p>
    <w:p w14:paraId="3360D5BD" w14:textId="0E77E9A8" w:rsidR="0009502C" w:rsidRPr="00A2550B" w:rsidRDefault="0009502C" w:rsidP="5FE621EA">
      <w:pPr>
        <w:jc w:val="center"/>
        <w:rPr>
          <w:rFonts w:asciiTheme="minorHAnsi" w:hAnsiTheme="minorHAnsi" w:cstheme="minorBidi"/>
          <w:b/>
          <w:bCs/>
        </w:rPr>
      </w:pPr>
      <w:r w:rsidRPr="5FE621EA">
        <w:rPr>
          <w:rFonts w:asciiTheme="minorHAnsi" w:hAnsiTheme="minorHAnsi" w:cstheme="minorBidi"/>
          <w:b/>
          <w:bCs/>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52C5A171"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w:t>
      </w:r>
      <w:r w:rsidR="00BC7443" w:rsidRPr="00A2550B">
        <w:rPr>
          <w:rFonts w:asciiTheme="minorHAnsi" w:hAnsiTheme="minorHAnsi" w:cstheme="minorHAnsi"/>
          <w:b/>
          <w:szCs w:val="24"/>
        </w:rPr>
        <w:t xml:space="preserve">. </w:t>
      </w:r>
      <w:r w:rsidRPr="00A2550B">
        <w:rPr>
          <w:rFonts w:asciiTheme="minorHAnsi" w:hAnsiTheme="minorHAnsi" w:cstheme="minorHAnsi"/>
          <w:b/>
          <w:szCs w:val="24"/>
        </w:rPr>
        <w:t>Reference all attachments in</w:t>
      </w:r>
      <w:r w:rsidR="002960D5" w:rsidRPr="00A2550B">
        <w:rPr>
          <w:rFonts w:asciiTheme="minorHAnsi" w:hAnsiTheme="minorHAnsi" w:cstheme="minorHAnsi"/>
          <w:b/>
          <w:szCs w:val="24"/>
        </w:rPr>
        <w:t xml:space="preserve"> the shaded area</w:t>
      </w:r>
      <w:r w:rsidR="005C023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21"/>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5EA5E61C">
        <w:tc>
          <w:tcPr>
            <w:tcW w:w="8856" w:type="dxa"/>
            <w:shd w:val="clear" w:color="auto" w:fill="FFFF99"/>
          </w:tcPr>
          <w:p w14:paraId="33ACD41A" w14:textId="77777777" w:rsidR="006629B4" w:rsidRDefault="006629B4" w:rsidP="006629B4">
            <w:pPr>
              <w:textAlignment w:val="baseline"/>
              <w:rPr>
                <w:rFonts w:asciiTheme="minorHAnsi" w:hAnsiTheme="minorHAnsi" w:cstheme="minorHAnsi"/>
              </w:rPr>
            </w:pPr>
          </w:p>
          <w:p w14:paraId="6CEE32DC" w14:textId="0F8D1D61" w:rsidR="009954F7" w:rsidRPr="004258D1" w:rsidRDefault="009954F7" w:rsidP="006629B4">
            <w:pPr>
              <w:textAlignment w:val="baseline"/>
              <w:rPr>
                <w:rFonts w:asciiTheme="minorHAnsi" w:hAnsiTheme="minorHAnsi" w:cstheme="minorHAnsi"/>
                <w:sz w:val="18"/>
                <w:szCs w:val="18"/>
              </w:rPr>
            </w:pPr>
            <w:r w:rsidRPr="004258D1">
              <w:rPr>
                <w:rFonts w:asciiTheme="minorHAnsi" w:hAnsiTheme="minorHAnsi" w:cstheme="minorHAnsi"/>
              </w:rPr>
              <w:t>Established in 1989, TPMA provides consulting services throughout the United States and internationally, working with nonprofit organizations, communities, educational institutions, workforce boards, funders, and local and state governments. TPMA is built on a foundation of experts in the fields of research and evaluation, education, philanthropy, workforce, and economic development. We envision a world that thinks strategically, works collaboratively, and acts sustainably. In keeping with that vision, we empower organizations and communities through strategic partnerships and informed solutions that create positive, sustainable change. This mission drives TPMA to seek out projects that require our abilities to work with multiple stakeholders and facilitate continuous improvement and capacity building within programs. </w:t>
            </w:r>
          </w:p>
          <w:p w14:paraId="09221551" w14:textId="77777777" w:rsidR="009954F7" w:rsidRPr="004258D1" w:rsidRDefault="009954F7" w:rsidP="006629B4">
            <w:pPr>
              <w:rPr>
                <w:rFonts w:asciiTheme="minorHAnsi" w:hAnsiTheme="minorHAnsi" w:cstheme="minorHAnsi"/>
              </w:rPr>
            </w:pPr>
          </w:p>
          <w:p w14:paraId="57C73019" w14:textId="57297CE0" w:rsidR="006629B4" w:rsidRDefault="009954F7" w:rsidP="006629B4">
            <w:pPr>
              <w:textAlignment w:val="baseline"/>
              <w:rPr>
                <w:rFonts w:asciiTheme="minorHAnsi" w:hAnsiTheme="minorHAnsi" w:cstheme="minorHAnsi"/>
              </w:rPr>
            </w:pPr>
            <w:r w:rsidRPr="004258D1">
              <w:rPr>
                <w:rFonts w:asciiTheme="minorHAnsi" w:hAnsiTheme="minorHAnsi" w:cstheme="minorHAnsi"/>
              </w:rPr>
              <w:t>TPMA is a national leader in evaluation. Our evaluation portfolio includes evaluations for more than 30 programs and initiatives funded by federal, state, and foundation dollars spanning from three-months to multiple-year projects. We have worked with individual program sites and multi-site consortia as well as at the state level and with organizations serving multiple states. Our national evaluation work typically includes logic model and evaluation design, quantitative and qualitative data collection and analysis, reporting, and assessment of program implementation and impact. TPMA’s approach to program evaluation positions us as partners in helping organizations and institutions do their work more effectively. TPMA has a proven track record of working collaboratively with evaluation clients to produce meaningful and actionable results. Our relevant experiences that position us well for working with N-CATT on this project include projects that focus on the following components: </w:t>
            </w:r>
          </w:p>
          <w:p w14:paraId="3782EE77" w14:textId="77E77071" w:rsidR="009954F7" w:rsidRPr="003D00FE" w:rsidRDefault="00E917F0" w:rsidP="00922A8E">
            <w:pPr>
              <w:pStyle w:val="ListParagraph"/>
              <w:numPr>
                <w:ilvl w:val="0"/>
                <w:numId w:val="34"/>
              </w:numPr>
              <w:spacing w:before="120" w:after="120"/>
              <w:contextualSpacing w:val="0"/>
              <w:rPr>
                <w:rFonts w:asciiTheme="minorHAnsi" w:hAnsiTheme="minorHAnsi" w:cstheme="minorHAnsi"/>
              </w:rPr>
            </w:pPr>
            <w:r>
              <w:rPr>
                <w:rFonts w:asciiTheme="minorHAnsi" w:hAnsiTheme="minorHAnsi" w:cstheme="minorHAnsi"/>
              </w:rPr>
              <w:t xml:space="preserve">TRACKING AND EVALUATING PERFORMANCE MEASURES | </w:t>
            </w:r>
            <w:r w:rsidR="009954F7" w:rsidRPr="003D00FE">
              <w:rPr>
                <w:rFonts w:asciiTheme="minorHAnsi" w:hAnsiTheme="minorHAnsi" w:cstheme="minorHAnsi"/>
              </w:rPr>
              <w:t>TPMA is evaluating eight National Resource Centers at Indiana University on their US Dept. of Education Title VI grants. Through these grants, TPMA helped develop appropriate performance measures for all centers’ grant activities and is conducting four-year evaluations to measure the extent to which performance measures are met, as well as collecting formative feedback on key aspects of their programs</w:t>
            </w:r>
            <w:r w:rsidR="0022498A" w:rsidRPr="003D00FE">
              <w:rPr>
                <w:rFonts w:asciiTheme="minorHAnsi" w:hAnsiTheme="minorHAnsi" w:cstheme="minorHAnsi"/>
              </w:rPr>
              <w:t xml:space="preserve">. </w:t>
            </w:r>
          </w:p>
          <w:p w14:paraId="35032F69" w14:textId="776762E9" w:rsidR="009954F7" w:rsidRPr="003D00FE" w:rsidRDefault="000766FD" w:rsidP="006629B4">
            <w:pPr>
              <w:pStyle w:val="ListParagraph"/>
              <w:numPr>
                <w:ilvl w:val="0"/>
                <w:numId w:val="34"/>
              </w:numPr>
              <w:spacing w:before="120" w:after="120"/>
              <w:contextualSpacing w:val="0"/>
              <w:rPr>
                <w:rFonts w:asciiTheme="minorHAnsi" w:hAnsiTheme="minorHAnsi" w:cstheme="minorHAnsi"/>
              </w:rPr>
            </w:pPr>
            <w:r w:rsidRPr="003D00FE">
              <w:rPr>
                <w:rFonts w:asciiTheme="minorHAnsi" w:hAnsiTheme="minorHAnsi" w:cstheme="minorHAnsi"/>
              </w:rPr>
              <w:lastRenderedPageBreak/>
              <w:t>CREATING LOGIC MODELS </w:t>
            </w:r>
            <w:r w:rsidR="009954F7" w:rsidRPr="003D00FE">
              <w:rPr>
                <w:rFonts w:asciiTheme="minorHAnsi" w:hAnsiTheme="minorHAnsi" w:cstheme="minorHAnsi"/>
              </w:rPr>
              <w:t>| Through our work with Serve Indiana and California Volunteers, we have supported more than 30 AmeriCorps programs in refining their logic models and performance measures to best demonstrate their efforts. We have provided extensive training and technical assistance to these programs on how to build better logic models and use them to inform high-quality data collection</w:t>
            </w:r>
            <w:r w:rsidR="0022498A" w:rsidRPr="003D00FE">
              <w:rPr>
                <w:rFonts w:asciiTheme="minorHAnsi" w:hAnsiTheme="minorHAnsi" w:cstheme="minorHAnsi"/>
              </w:rPr>
              <w:t xml:space="preserve">. </w:t>
            </w:r>
          </w:p>
          <w:p w14:paraId="563EA35D" w14:textId="1145F055" w:rsidR="009954F7" w:rsidRPr="003D00FE" w:rsidRDefault="000766FD" w:rsidP="006629B4">
            <w:pPr>
              <w:pStyle w:val="ListParagraph"/>
              <w:numPr>
                <w:ilvl w:val="0"/>
                <w:numId w:val="34"/>
              </w:numPr>
              <w:spacing w:before="120" w:after="120"/>
              <w:contextualSpacing w:val="0"/>
              <w:rPr>
                <w:rFonts w:asciiTheme="minorHAnsi" w:hAnsiTheme="minorHAnsi" w:cstheme="minorHAnsi"/>
              </w:rPr>
            </w:pPr>
            <w:r w:rsidRPr="003D00FE">
              <w:rPr>
                <w:rFonts w:asciiTheme="minorHAnsi" w:hAnsiTheme="minorHAnsi" w:cstheme="minorHAnsi"/>
              </w:rPr>
              <w:t>DEVELOPING DATA COLLECTION TOOLS</w:t>
            </w:r>
            <w:r w:rsidR="009954F7" w:rsidRPr="003D00FE">
              <w:rPr>
                <w:rFonts w:asciiTheme="minorHAnsi" w:hAnsiTheme="minorHAnsi" w:cstheme="minorHAnsi"/>
              </w:rPr>
              <w:t> | When evaluating a 14-member consortium implementing a micro-credential program across the Commonwealth of Pennsylvania, TPMA developed quantitative and qualitative data collection tools throughout the evaluation, including common intake forms and customized participant tracking tools, data collection protocols, surveys, facilitation guides, and secure data transfer processes. By utilizing data from several qualitative and quantitative sources, TPMA was able to provide a robust and rigorous evaluation to the consortium members, the Pennsylvania Dept. of Labor and Industry, and their funders at the US Dept. of Labor. </w:t>
            </w:r>
          </w:p>
          <w:p w14:paraId="3C0E06EB" w14:textId="49616FF5" w:rsidR="009954F7" w:rsidRPr="003D00FE" w:rsidRDefault="000766FD" w:rsidP="006629B4">
            <w:pPr>
              <w:pStyle w:val="ListParagraph"/>
              <w:numPr>
                <w:ilvl w:val="0"/>
                <w:numId w:val="34"/>
              </w:numPr>
              <w:spacing w:before="120" w:after="120"/>
              <w:contextualSpacing w:val="0"/>
              <w:rPr>
                <w:rFonts w:asciiTheme="minorHAnsi" w:hAnsiTheme="minorHAnsi" w:cstheme="minorHAnsi"/>
              </w:rPr>
            </w:pPr>
            <w:r w:rsidRPr="003D00FE">
              <w:rPr>
                <w:rFonts w:asciiTheme="minorHAnsi" w:hAnsiTheme="minorHAnsi" w:cstheme="minorHAnsi"/>
              </w:rPr>
              <w:t>CONDUCTING LARGE-SCALE AND COMPLEX EVALUATIONS </w:t>
            </w:r>
            <w:r w:rsidR="009954F7" w:rsidRPr="003D00FE">
              <w:rPr>
                <w:rFonts w:asciiTheme="minorHAnsi" w:hAnsiTheme="minorHAnsi" w:cstheme="minorHAnsi"/>
              </w:rPr>
              <w:t>| TPMA has conducted more than 20 large-scale, multi-year federally funded evaluation projects in the last five years for the U.S. Dept. of Labor, U.S. Dept. of Education, National Science Foundation, and Corporation for National Community Service. These evaluations have included implementation, outcomes, impact, and cost analyses of complex programs. TPMA is well versed at studying the extent to which each objective of a program is met, and also the extent to which the overall program is effectively accomplishing its goals</w:t>
            </w:r>
            <w:r w:rsidR="0022498A" w:rsidRPr="003D00FE">
              <w:rPr>
                <w:rFonts w:asciiTheme="minorHAnsi" w:hAnsiTheme="minorHAnsi" w:cstheme="minorHAnsi"/>
              </w:rPr>
              <w:t xml:space="preserve">. </w:t>
            </w:r>
          </w:p>
          <w:p w14:paraId="12A206DE" w14:textId="02C66F0B" w:rsidR="009954F7" w:rsidRPr="003D00FE" w:rsidRDefault="000766FD" w:rsidP="006629B4">
            <w:pPr>
              <w:pStyle w:val="ListParagraph"/>
              <w:numPr>
                <w:ilvl w:val="0"/>
                <w:numId w:val="34"/>
              </w:numPr>
              <w:spacing w:before="120" w:after="120"/>
              <w:contextualSpacing w:val="0"/>
              <w:rPr>
                <w:rFonts w:asciiTheme="minorHAnsi" w:hAnsiTheme="minorHAnsi" w:cstheme="minorBidi"/>
              </w:rPr>
            </w:pPr>
            <w:r w:rsidRPr="003D00FE">
              <w:rPr>
                <w:rFonts w:asciiTheme="minorHAnsi" w:hAnsiTheme="minorHAnsi" w:cstheme="minorHAnsi"/>
              </w:rPr>
              <w:t>WORKING WITH NONPROFIT ORGANIZATIONS </w:t>
            </w:r>
            <w:r w:rsidR="009954F7" w:rsidRPr="003D00FE">
              <w:rPr>
                <w:rFonts w:asciiTheme="minorHAnsi" w:hAnsiTheme="minorHAnsi" w:cstheme="minorHAnsi"/>
              </w:rPr>
              <w:t>| TPMA has conducted evaluation projects for several nonprofit clients. We understand that, particularly for nonprofit clients, collecting data in a way that is not overly burdensome to program staff is crucial, as many program staff do not have capacity to conduct extensive data collection for an evaluation. We have trained program staff at nonprofits in best practices for collecting programmatic data and have helped to build buy-in for data collection through these trainings. We have worked with numerous AmeriCorps programs, Community Action Agencies, and other nonprofit organizations to help them better demonstrate the work that they are accomplishing and the areas where they can continue to improve their programs.</w:t>
            </w:r>
          </w:p>
          <w:p w14:paraId="46B2733D" w14:textId="421FD0B1" w:rsidR="0009502C" w:rsidRPr="00A2550B" w:rsidRDefault="0009502C" w:rsidP="006629B4"/>
        </w:tc>
      </w:tr>
    </w:tbl>
    <w:p w14:paraId="44AD1811" w14:textId="77777777" w:rsidR="0009502C" w:rsidRPr="00A2550B" w:rsidRDefault="0009502C" w:rsidP="0009502C">
      <w:pPr>
        <w:rPr>
          <w:rFonts w:asciiTheme="minorHAnsi" w:hAnsiTheme="minorHAnsi" w:cstheme="minorHAnsi"/>
          <w:szCs w:val="24"/>
        </w:rPr>
      </w:pPr>
    </w:p>
    <w:p w14:paraId="3F8124E9" w14:textId="0F26E036" w:rsidR="0009502C" w:rsidRPr="00A2550B" w:rsidRDefault="0009502C" w:rsidP="00405269">
      <w:pPr>
        <w:widowControl/>
        <w:numPr>
          <w:ilvl w:val="2"/>
          <w:numId w:val="21"/>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xml:space="preserve">- Please include in this section the legal form of the Respondent’s business organization, the state in which formed (accompanied by a certificate of authority), the types of business ventures in which the organization is involved, and a chart of the organization. If the organization </w:t>
      </w:r>
      <w:r w:rsidRPr="00A2550B">
        <w:rPr>
          <w:rFonts w:asciiTheme="minorHAnsi" w:hAnsiTheme="minorHAnsi" w:cstheme="minorHAnsi"/>
          <w:szCs w:val="24"/>
        </w:rPr>
        <w:lastRenderedPageBreak/>
        <w:t>includes more than one (1) product division, the division responsible for the development and marketing of the requested products and/or services in the United States must be described in more detail than other components of the organization</w:t>
      </w:r>
      <w:r w:rsidR="005C023E" w:rsidRPr="00A2550B">
        <w:rPr>
          <w:rFonts w:asciiTheme="minorHAnsi" w:hAnsiTheme="minorHAnsi" w:cstheme="minorHAnsi"/>
          <w:szCs w:val="24"/>
        </w:rPr>
        <w:t xml:space="preserve">. </w:t>
      </w:r>
      <w:r w:rsidRPr="00A2550B">
        <w:rPr>
          <w:rFonts w:asciiTheme="minorHAnsi" w:hAnsiTheme="minorHAnsi" w:cstheme="minorHAnsi"/>
          <w:szCs w:val="24"/>
        </w:rPr>
        <w:t>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5EA5E61C">
        <w:tc>
          <w:tcPr>
            <w:tcW w:w="8856" w:type="dxa"/>
            <w:shd w:val="clear" w:color="auto" w:fill="FFFF99"/>
          </w:tcPr>
          <w:p w14:paraId="32CE847A" w14:textId="77777777" w:rsidR="0088303C" w:rsidRDefault="0088303C" w:rsidP="6F5A7494">
            <w:pPr>
              <w:widowControl/>
              <w:spacing w:after="240"/>
              <w:rPr>
                <w:rStyle w:val="normaltextrun"/>
                <w:rFonts w:asciiTheme="minorHAnsi" w:eastAsiaTheme="minorEastAsia" w:hAnsiTheme="minorHAnsi" w:cstheme="minorBidi"/>
                <w:color w:val="000000" w:themeColor="text1"/>
                <w:szCs w:val="24"/>
              </w:rPr>
            </w:pPr>
          </w:p>
          <w:p w14:paraId="37A97EC9" w14:textId="2B4C8D1E" w:rsidR="0009502C" w:rsidRPr="00A2550B" w:rsidRDefault="67942204" w:rsidP="6F5A7494">
            <w:pPr>
              <w:widowControl/>
              <w:spacing w:after="240"/>
              <w:rPr>
                <w:rFonts w:asciiTheme="minorHAnsi" w:eastAsiaTheme="minorEastAsia" w:hAnsiTheme="minorHAnsi" w:cstheme="minorBidi"/>
                <w:color w:val="000000" w:themeColor="text1"/>
                <w:szCs w:val="24"/>
              </w:rPr>
            </w:pPr>
            <w:r w:rsidRPr="6F5A7494">
              <w:rPr>
                <w:rStyle w:val="normaltextrun"/>
                <w:rFonts w:asciiTheme="minorHAnsi" w:eastAsiaTheme="minorEastAsia" w:hAnsiTheme="minorHAnsi" w:cstheme="minorBidi"/>
                <w:color w:val="000000" w:themeColor="text1"/>
                <w:szCs w:val="24"/>
              </w:rPr>
              <w:t xml:space="preserve">Thomas P. Miller &amp; Associates, LLC (TPMA) is a Limited Liability Company (LLC) formed in Indiana. TPMA is a consulting firm that provides research and planning services to public sector, non-profit, and for-profit clients. TPMA’s primary service lines include evaluation and research, economic development, and workforce development projects. </w:t>
            </w:r>
          </w:p>
          <w:p w14:paraId="7BD8D1EF" w14:textId="0C8CE8A3" w:rsidR="0009502C" w:rsidRPr="00A2550B" w:rsidRDefault="71205D55" w:rsidP="5EA5E61C">
            <w:pPr>
              <w:widowControl/>
              <w:rPr>
                <w:rFonts w:asciiTheme="minorHAnsi" w:eastAsiaTheme="minorEastAsia" w:hAnsiTheme="minorHAnsi" w:cstheme="minorBidi"/>
                <w:color w:val="000000" w:themeColor="text1"/>
                <w:szCs w:val="24"/>
              </w:rPr>
            </w:pPr>
            <w:r w:rsidRPr="5EA5E61C">
              <w:rPr>
                <w:rStyle w:val="normaltextrun"/>
                <w:rFonts w:asciiTheme="minorHAnsi" w:eastAsiaTheme="minorEastAsia" w:hAnsiTheme="minorHAnsi" w:cstheme="minorBidi"/>
                <w:color w:val="000000" w:themeColor="text1"/>
                <w:szCs w:val="24"/>
              </w:rPr>
              <w:t xml:space="preserve">TPMA’s Community Impact Team will take primary responsibility for conducting the services described in this proposal. The </w:t>
            </w:r>
            <w:r w:rsidR="1B58A4B1" w:rsidRPr="5EA5E61C">
              <w:rPr>
                <w:rStyle w:val="normaltextrun"/>
                <w:rFonts w:asciiTheme="minorHAnsi" w:eastAsiaTheme="minorEastAsia" w:hAnsiTheme="minorHAnsi" w:cstheme="minorBidi"/>
                <w:color w:val="000000" w:themeColor="text1"/>
                <w:szCs w:val="24"/>
              </w:rPr>
              <w:t>Community Impact</w:t>
            </w:r>
            <w:r w:rsidRPr="5EA5E61C">
              <w:rPr>
                <w:rStyle w:val="normaltextrun"/>
                <w:rFonts w:asciiTheme="minorHAnsi" w:eastAsiaTheme="minorEastAsia" w:hAnsiTheme="minorHAnsi" w:cstheme="minorBidi"/>
                <w:color w:val="000000" w:themeColor="text1"/>
                <w:szCs w:val="24"/>
              </w:rPr>
              <w:t xml:space="preserve"> Team uses its wide variety of subject matter expertise to provide the following services, among others: </w:t>
            </w:r>
          </w:p>
          <w:p w14:paraId="3E217B4C" w14:textId="77777777" w:rsidR="00C119C1" w:rsidRPr="00A2550B" w:rsidRDefault="00C119C1" w:rsidP="00C119C1">
            <w:pPr>
              <w:pStyle w:val="ListParagraph"/>
              <w:widowControl/>
              <w:numPr>
                <w:ilvl w:val="0"/>
                <w:numId w:val="6"/>
              </w:numPr>
              <w:ind w:left="360" w:firstLine="0"/>
              <w:rPr>
                <w:rFonts w:asciiTheme="minorHAnsi" w:eastAsiaTheme="minorEastAsia" w:hAnsiTheme="minorHAnsi" w:cstheme="minorBidi"/>
                <w:color w:val="000000" w:themeColor="text1"/>
                <w:szCs w:val="24"/>
              </w:rPr>
            </w:pPr>
            <w:r w:rsidRPr="6F5A7494">
              <w:rPr>
                <w:rStyle w:val="normaltextrun"/>
                <w:rFonts w:asciiTheme="minorHAnsi" w:eastAsiaTheme="minorEastAsia" w:hAnsiTheme="minorHAnsi" w:cstheme="minorBidi"/>
                <w:color w:val="000000" w:themeColor="text1"/>
                <w:szCs w:val="24"/>
              </w:rPr>
              <w:t>Outcome and Impact Evaluation </w:t>
            </w:r>
          </w:p>
          <w:p w14:paraId="7B333469" w14:textId="5F2B267B" w:rsidR="0009502C" w:rsidRPr="00A2550B" w:rsidRDefault="67942204" w:rsidP="6F5A7494">
            <w:pPr>
              <w:pStyle w:val="ListParagraph"/>
              <w:widowControl/>
              <w:numPr>
                <w:ilvl w:val="0"/>
                <w:numId w:val="6"/>
              </w:numPr>
              <w:ind w:left="360" w:firstLine="0"/>
              <w:rPr>
                <w:rFonts w:asciiTheme="minorHAnsi" w:eastAsiaTheme="minorEastAsia" w:hAnsiTheme="minorHAnsi" w:cstheme="minorBidi"/>
                <w:color w:val="000000" w:themeColor="text1"/>
                <w:szCs w:val="24"/>
              </w:rPr>
            </w:pPr>
            <w:r w:rsidRPr="6F5A7494">
              <w:rPr>
                <w:rStyle w:val="normaltextrun"/>
                <w:rFonts w:asciiTheme="minorHAnsi" w:eastAsiaTheme="minorEastAsia" w:hAnsiTheme="minorHAnsi" w:cstheme="minorBidi"/>
                <w:color w:val="000000" w:themeColor="text1"/>
                <w:szCs w:val="24"/>
              </w:rPr>
              <w:t>Program Design </w:t>
            </w:r>
          </w:p>
          <w:p w14:paraId="0BED59F8" w14:textId="7434A1D1" w:rsidR="0009502C" w:rsidRPr="00A2550B" w:rsidRDefault="67942204" w:rsidP="6F5A7494">
            <w:pPr>
              <w:pStyle w:val="ListParagraph"/>
              <w:widowControl/>
              <w:numPr>
                <w:ilvl w:val="0"/>
                <w:numId w:val="6"/>
              </w:numPr>
              <w:ind w:left="360" w:firstLine="0"/>
              <w:rPr>
                <w:rFonts w:asciiTheme="minorHAnsi" w:eastAsiaTheme="minorEastAsia" w:hAnsiTheme="minorHAnsi" w:cstheme="minorBidi"/>
                <w:color w:val="000000" w:themeColor="text1"/>
                <w:szCs w:val="24"/>
              </w:rPr>
            </w:pPr>
            <w:r w:rsidRPr="6F5A7494">
              <w:rPr>
                <w:rStyle w:val="normaltextrun"/>
                <w:rFonts w:asciiTheme="minorHAnsi" w:eastAsiaTheme="minorEastAsia" w:hAnsiTheme="minorHAnsi" w:cstheme="minorBidi"/>
                <w:color w:val="000000" w:themeColor="text1"/>
                <w:szCs w:val="24"/>
              </w:rPr>
              <w:t>Implementation Evaluation </w:t>
            </w:r>
          </w:p>
          <w:p w14:paraId="54D9C951" w14:textId="6D1ACD16" w:rsidR="0009502C" w:rsidRPr="00A2550B" w:rsidRDefault="67942204" w:rsidP="6F5A7494">
            <w:pPr>
              <w:pStyle w:val="ListParagraph"/>
              <w:widowControl/>
              <w:numPr>
                <w:ilvl w:val="0"/>
                <w:numId w:val="6"/>
              </w:numPr>
              <w:ind w:left="360" w:firstLine="0"/>
              <w:rPr>
                <w:rFonts w:asciiTheme="minorHAnsi" w:eastAsiaTheme="minorEastAsia" w:hAnsiTheme="minorHAnsi" w:cstheme="minorBidi"/>
                <w:color w:val="000000" w:themeColor="text1"/>
                <w:szCs w:val="24"/>
              </w:rPr>
            </w:pPr>
            <w:r w:rsidRPr="6F5A7494">
              <w:rPr>
                <w:rStyle w:val="normaltextrun"/>
                <w:rFonts w:asciiTheme="minorHAnsi" w:eastAsiaTheme="minorEastAsia" w:hAnsiTheme="minorHAnsi" w:cstheme="minorBidi"/>
                <w:color w:val="000000" w:themeColor="text1"/>
                <w:szCs w:val="24"/>
              </w:rPr>
              <w:t>Evaluation Capacity Building </w:t>
            </w:r>
          </w:p>
          <w:p w14:paraId="3CB07E11" w14:textId="5D52C6F9" w:rsidR="0009502C" w:rsidRPr="00A2550B" w:rsidRDefault="67942204" w:rsidP="6F5A7494">
            <w:pPr>
              <w:pStyle w:val="ListParagraph"/>
              <w:widowControl/>
              <w:numPr>
                <w:ilvl w:val="0"/>
                <w:numId w:val="6"/>
              </w:numPr>
              <w:ind w:left="360" w:firstLine="0"/>
              <w:rPr>
                <w:rFonts w:asciiTheme="minorHAnsi" w:eastAsiaTheme="minorEastAsia" w:hAnsiTheme="minorHAnsi" w:cstheme="minorBidi"/>
                <w:color w:val="000000" w:themeColor="text1"/>
                <w:szCs w:val="24"/>
              </w:rPr>
            </w:pPr>
            <w:r w:rsidRPr="6F5A7494">
              <w:rPr>
                <w:rStyle w:val="normaltextrun"/>
                <w:rFonts w:asciiTheme="minorHAnsi" w:eastAsiaTheme="minorEastAsia" w:hAnsiTheme="minorHAnsi" w:cstheme="minorBidi"/>
                <w:color w:val="000000" w:themeColor="text1"/>
                <w:szCs w:val="24"/>
              </w:rPr>
              <w:t>Data Analysis and Strategic Initiatives  </w:t>
            </w:r>
          </w:p>
          <w:p w14:paraId="4D5736AD" w14:textId="77777777" w:rsidR="0009502C" w:rsidRDefault="67942204" w:rsidP="6F5A7494">
            <w:pPr>
              <w:pStyle w:val="ListParagraph"/>
              <w:widowControl/>
              <w:numPr>
                <w:ilvl w:val="0"/>
                <w:numId w:val="6"/>
              </w:numPr>
              <w:ind w:left="360" w:firstLine="0"/>
              <w:rPr>
                <w:rStyle w:val="normaltextrun"/>
                <w:rFonts w:asciiTheme="minorHAnsi" w:eastAsiaTheme="minorEastAsia" w:hAnsiTheme="minorHAnsi" w:cstheme="minorBidi"/>
                <w:color w:val="000000" w:themeColor="text1"/>
                <w:szCs w:val="24"/>
              </w:rPr>
            </w:pPr>
            <w:r w:rsidRPr="6F5A7494">
              <w:rPr>
                <w:rStyle w:val="normaltextrun"/>
                <w:rFonts w:asciiTheme="minorHAnsi" w:eastAsiaTheme="minorEastAsia" w:hAnsiTheme="minorHAnsi" w:cstheme="minorBidi"/>
                <w:color w:val="000000" w:themeColor="text1"/>
                <w:szCs w:val="24"/>
              </w:rPr>
              <w:t>Impact and Feasibility  </w:t>
            </w:r>
          </w:p>
          <w:p w14:paraId="5871C53A" w14:textId="79BEC92A" w:rsidR="00B912D5" w:rsidRPr="00B912D5" w:rsidRDefault="00B912D5" w:rsidP="00B912D5">
            <w:pPr>
              <w:widowControl/>
              <w:ind w:left="360"/>
              <w:rPr>
                <w:rFonts w:asciiTheme="minorHAnsi" w:eastAsiaTheme="minorEastAsia" w:hAnsiTheme="minorHAnsi" w:cstheme="minorBidi"/>
                <w:color w:val="000000" w:themeColor="text1"/>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21"/>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E719950">
        <w:tc>
          <w:tcPr>
            <w:tcW w:w="8856" w:type="dxa"/>
            <w:shd w:val="clear" w:color="auto" w:fill="FFFF99"/>
          </w:tcPr>
          <w:p w14:paraId="49FDDE78" w14:textId="77777777" w:rsidR="0088303C" w:rsidRDefault="0088303C" w:rsidP="00C119C1">
            <w:pPr>
              <w:widowControl/>
              <w:rPr>
                <w:rStyle w:val="normaltextrun"/>
                <w:rFonts w:asciiTheme="minorHAnsi" w:eastAsiaTheme="minorEastAsia" w:hAnsiTheme="minorHAnsi" w:cstheme="minorBidi"/>
                <w:color w:val="000000" w:themeColor="text1"/>
                <w:szCs w:val="24"/>
              </w:rPr>
            </w:pPr>
          </w:p>
          <w:p w14:paraId="66024CE2" w14:textId="25AF1D25" w:rsidR="009255C1" w:rsidRPr="00C119C1" w:rsidRDefault="1285C42E" w:rsidP="00C119C1">
            <w:pPr>
              <w:widowControl/>
              <w:rPr>
                <w:rStyle w:val="normaltextrun"/>
                <w:rFonts w:asciiTheme="minorHAnsi" w:eastAsiaTheme="minorEastAsia" w:hAnsiTheme="minorHAnsi" w:cstheme="minorBidi"/>
                <w:color w:val="000000" w:themeColor="text1"/>
                <w:szCs w:val="24"/>
              </w:rPr>
            </w:pPr>
            <w:r w:rsidRPr="00C119C1">
              <w:rPr>
                <w:rStyle w:val="normaltextrun"/>
                <w:rFonts w:asciiTheme="minorHAnsi" w:eastAsiaTheme="minorEastAsia" w:hAnsiTheme="minorHAnsi" w:cstheme="minorBidi"/>
                <w:color w:val="000000" w:themeColor="text1"/>
                <w:szCs w:val="24"/>
              </w:rPr>
              <w:t xml:space="preserve">As a result of purposeful investigation into the long history of policy and institution that have influenced systemic inequities, TPMA established an internal DEI Committee in 2018. The Committee guided organization wide planning and is making steady progress toward related strategic goals created in 2019. </w:t>
            </w:r>
          </w:p>
          <w:p w14:paraId="5D8DB91A" w14:textId="5AC5A290" w:rsidR="009255C1" w:rsidRPr="00C119C1" w:rsidRDefault="1285C42E" w:rsidP="00C119C1">
            <w:pPr>
              <w:widowControl/>
              <w:rPr>
                <w:rStyle w:val="normaltextrun"/>
                <w:rFonts w:asciiTheme="minorHAnsi" w:eastAsiaTheme="minorEastAsia" w:hAnsiTheme="minorHAnsi" w:cstheme="minorBidi"/>
                <w:color w:val="000000" w:themeColor="text1"/>
                <w:szCs w:val="24"/>
              </w:rPr>
            </w:pPr>
            <w:r w:rsidRPr="00C119C1">
              <w:rPr>
                <w:rStyle w:val="normaltextrun"/>
                <w:rFonts w:asciiTheme="minorHAnsi" w:eastAsiaTheme="minorEastAsia" w:hAnsiTheme="minorHAnsi" w:cstheme="minorBidi"/>
                <w:color w:val="000000" w:themeColor="text1"/>
                <w:szCs w:val="24"/>
              </w:rPr>
              <w:t xml:space="preserve"> </w:t>
            </w:r>
          </w:p>
          <w:p w14:paraId="636B6925" w14:textId="131AA56E" w:rsidR="009255C1" w:rsidRPr="00C119C1" w:rsidRDefault="1285C42E" w:rsidP="00C119C1">
            <w:pPr>
              <w:widowControl/>
              <w:rPr>
                <w:rStyle w:val="normaltextrun"/>
                <w:rFonts w:asciiTheme="minorHAnsi" w:eastAsiaTheme="minorEastAsia" w:hAnsiTheme="minorHAnsi" w:cstheme="minorBidi"/>
                <w:color w:val="000000" w:themeColor="text1"/>
                <w:szCs w:val="24"/>
              </w:rPr>
            </w:pPr>
            <w:r w:rsidRPr="00C119C1">
              <w:rPr>
                <w:rStyle w:val="normaltextrun"/>
                <w:rFonts w:asciiTheme="minorHAnsi" w:eastAsiaTheme="minorEastAsia" w:hAnsiTheme="minorHAnsi" w:cstheme="minorBidi"/>
                <w:color w:val="000000" w:themeColor="text1"/>
                <w:szCs w:val="24"/>
              </w:rPr>
              <w:t xml:space="preserve">As part of organizational policy TPMA has committed to hiring and nurturing a diverse group of leaders. In addition to internal policy that supports development of a diverse team, TPMA offers services that support organizations in becoming more diverse, equitable, inclusive, and representative of their communities. TPMA designs comprehensive DEI initiatives that optimize processes and build cultures that empower diverse employees and the people they serve. We develop strategic DEI plans, review and revamp organizational policies and programs, facilitate workshops </w:t>
            </w:r>
            <w:r w:rsidRPr="00C119C1">
              <w:rPr>
                <w:rStyle w:val="normaltextrun"/>
                <w:rFonts w:asciiTheme="minorHAnsi" w:eastAsiaTheme="minorEastAsia" w:hAnsiTheme="minorHAnsi" w:cstheme="minorBidi"/>
                <w:color w:val="000000" w:themeColor="text1"/>
                <w:szCs w:val="24"/>
              </w:rPr>
              <w:lastRenderedPageBreak/>
              <w:t xml:space="preserve">and trainings, and advise organizational leadership on how to increase cultural competence among staff and stakeholders.  </w:t>
            </w:r>
          </w:p>
          <w:p w14:paraId="2765E0D2" w14:textId="5699600C" w:rsidR="009255C1" w:rsidRPr="00C119C1" w:rsidRDefault="1285C42E" w:rsidP="00C119C1">
            <w:pPr>
              <w:widowControl/>
              <w:rPr>
                <w:rStyle w:val="normaltextrun"/>
                <w:rFonts w:asciiTheme="minorHAnsi" w:eastAsiaTheme="minorEastAsia" w:hAnsiTheme="minorHAnsi" w:cstheme="minorBidi"/>
                <w:color w:val="000000" w:themeColor="text1"/>
                <w:szCs w:val="24"/>
              </w:rPr>
            </w:pPr>
            <w:r w:rsidRPr="00C119C1">
              <w:rPr>
                <w:rStyle w:val="normaltextrun"/>
                <w:rFonts w:asciiTheme="minorHAnsi" w:eastAsiaTheme="minorEastAsia" w:hAnsiTheme="minorHAnsi" w:cstheme="minorBidi"/>
                <w:color w:val="000000" w:themeColor="text1"/>
                <w:szCs w:val="24"/>
              </w:rPr>
              <w:t xml:space="preserve"> </w:t>
            </w:r>
          </w:p>
          <w:p w14:paraId="2BFF4220" w14:textId="741C73CD" w:rsidR="009255C1" w:rsidRPr="00C119C1" w:rsidRDefault="1285C42E" w:rsidP="00C119C1">
            <w:pPr>
              <w:widowControl/>
              <w:rPr>
                <w:rStyle w:val="normaltextrun"/>
                <w:rFonts w:asciiTheme="minorHAnsi" w:eastAsiaTheme="minorEastAsia" w:hAnsiTheme="minorHAnsi" w:cstheme="minorBidi"/>
                <w:color w:val="000000" w:themeColor="text1"/>
                <w:szCs w:val="24"/>
              </w:rPr>
            </w:pPr>
            <w:r w:rsidRPr="00C119C1">
              <w:rPr>
                <w:rStyle w:val="normaltextrun"/>
                <w:rFonts w:asciiTheme="minorHAnsi" w:eastAsiaTheme="minorEastAsia" w:hAnsiTheme="minorHAnsi" w:cstheme="minorBidi"/>
                <w:color w:val="000000" w:themeColor="text1"/>
                <w:szCs w:val="24"/>
              </w:rPr>
              <w:t xml:space="preserve">TPMA has a set of organizational Strategic Goals related to DEI that are tracked and measured on a quarterly basis. These goals include holding consistent racial equity trainings, conducting an internal and external salary review, formalizing processes to engage a more diverse group of vendors and subcontractors, and emphasizing the hiring and retaining of underrepresented groups at TPMA. </w:t>
            </w:r>
          </w:p>
          <w:p w14:paraId="44AA9721" w14:textId="49E1BB7F" w:rsidR="009255C1" w:rsidRPr="00C119C1" w:rsidRDefault="1285C42E" w:rsidP="00C119C1">
            <w:pPr>
              <w:widowControl/>
              <w:rPr>
                <w:rStyle w:val="normaltextrun"/>
                <w:rFonts w:asciiTheme="minorHAnsi" w:eastAsiaTheme="minorEastAsia" w:hAnsiTheme="minorHAnsi" w:cstheme="minorBidi"/>
                <w:color w:val="000000" w:themeColor="text1"/>
                <w:szCs w:val="24"/>
              </w:rPr>
            </w:pPr>
            <w:r w:rsidRPr="00C119C1">
              <w:rPr>
                <w:rStyle w:val="normaltextrun"/>
                <w:rFonts w:asciiTheme="minorHAnsi" w:eastAsiaTheme="minorEastAsia" w:hAnsiTheme="minorHAnsi" w:cstheme="minorBidi"/>
                <w:color w:val="000000" w:themeColor="text1"/>
                <w:szCs w:val="24"/>
              </w:rPr>
              <w:t xml:space="preserve"> </w:t>
            </w:r>
          </w:p>
          <w:p w14:paraId="66858501" w14:textId="5DFF7A0A" w:rsidR="009255C1" w:rsidRPr="00C119C1" w:rsidRDefault="1285C42E" w:rsidP="00C119C1">
            <w:pPr>
              <w:widowControl/>
              <w:rPr>
                <w:rStyle w:val="normaltextrun"/>
                <w:rFonts w:asciiTheme="minorHAnsi" w:eastAsiaTheme="minorEastAsia" w:hAnsiTheme="minorHAnsi" w:cstheme="minorBidi"/>
                <w:color w:val="000000" w:themeColor="text1"/>
                <w:szCs w:val="24"/>
              </w:rPr>
            </w:pPr>
            <w:r w:rsidRPr="00C119C1">
              <w:rPr>
                <w:rStyle w:val="normaltextrun"/>
                <w:rFonts w:asciiTheme="minorHAnsi" w:eastAsiaTheme="minorEastAsia" w:hAnsiTheme="minorHAnsi" w:cstheme="minorBidi"/>
                <w:color w:val="000000" w:themeColor="text1"/>
                <w:szCs w:val="24"/>
              </w:rPr>
              <w:t xml:space="preserve">TPMA values participatory approaches to all areas of our work with clients, engaging community members and those affected most by programs to ensure their voices are being heard. To ensure inclusion of diverse populations in </w:t>
            </w:r>
            <w:r w:rsidR="00C93C23" w:rsidRPr="00C119C1">
              <w:rPr>
                <w:rStyle w:val="normaltextrun"/>
                <w:rFonts w:asciiTheme="minorHAnsi" w:eastAsiaTheme="minorEastAsia" w:hAnsiTheme="minorHAnsi" w:cstheme="minorBidi"/>
                <w:color w:val="000000" w:themeColor="text1"/>
                <w:szCs w:val="24"/>
              </w:rPr>
              <w:t>all</w:t>
            </w:r>
            <w:r w:rsidRPr="00C119C1">
              <w:rPr>
                <w:rStyle w:val="normaltextrun"/>
                <w:rFonts w:asciiTheme="minorHAnsi" w:eastAsiaTheme="minorEastAsia" w:hAnsiTheme="minorHAnsi" w:cstheme="minorBidi"/>
                <w:color w:val="000000" w:themeColor="text1"/>
                <w:szCs w:val="24"/>
              </w:rPr>
              <w:t xml:space="preserve"> our program work, TPMA uses stakeholder mapping. This process highlights differing levels of influence and impact; it is often individuals and organizations that have low influence that are left out of the process even if they are ones most impacted by decisions. Stakeholder mapping grounds the stakeholder process in an understanding of the inequities and power balance that exists in the community. While this process will identify many underrepresented individuals, TPMA also engages with local organizations to assist with access to more community members. This intermediary support can help leverage connections through existing relationships where credibility, trust and comfort may encourage participation. TPMA has a team of DEI subject matter experts who have worked across the country on projects that involve engagement of diverse populations for planning, and training around DEI practices. </w:t>
            </w:r>
          </w:p>
          <w:p w14:paraId="28160E7F" w14:textId="53EE950B" w:rsidR="009255C1" w:rsidRPr="00C119C1" w:rsidRDefault="1285C42E" w:rsidP="00C119C1">
            <w:pPr>
              <w:widowControl/>
              <w:rPr>
                <w:rStyle w:val="normaltextrun"/>
                <w:rFonts w:asciiTheme="minorHAnsi" w:eastAsiaTheme="minorEastAsia" w:hAnsiTheme="minorHAnsi" w:cstheme="minorBidi"/>
                <w:color w:val="000000" w:themeColor="text1"/>
                <w:szCs w:val="24"/>
              </w:rPr>
            </w:pPr>
            <w:r w:rsidRPr="00C119C1">
              <w:rPr>
                <w:rStyle w:val="normaltextrun"/>
                <w:rFonts w:asciiTheme="minorHAnsi" w:eastAsiaTheme="minorEastAsia" w:hAnsiTheme="minorHAnsi" w:cstheme="minorBidi"/>
                <w:color w:val="000000" w:themeColor="text1"/>
                <w:szCs w:val="24"/>
              </w:rPr>
              <w:t xml:space="preserve"> </w:t>
            </w:r>
          </w:p>
          <w:p w14:paraId="60D94E21" w14:textId="43E1E425" w:rsidR="009255C1" w:rsidRPr="00C119C1" w:rsidRDefault="1285C42E" w:rsidP="00C119C1">
            <w:pPr>
              <w:widowControl/>
              <w:rPr>
                <w:rStyle w:val="normaltextrun"/>
                <w:rFonts w:asciiTheme="minorHAnsi" w:eastAsiaTheme="minorEastAsia" w:hAnsiTheme="minorHAnsi" w:cstheme="minorBidi"/>
                <w:color w:val="000000" w:themeColor="text1"/>
                <w:szCs w:val="24"/>
              </w:rPr>
            </w:pPr>
            <w:r w:rsidRPr="00C119C1">
              <w:rPr>
                <w:rStyle w:val="normaltextrun"/>
                <w:rFonts w:asciiTheme="minorHAnsi" w:eastAsiaTheme="minorEastAsia" w:hAnsiTheme="minorHAnsi" w:cstheme="minorBidi"/>
                <w:color w:val="000000" w:themeColor="text1"/>
                <w:szCs w:val="24"/>
              </w:rPr>
              <w:t xml:space="preserve">At TPMA, we believe that transparency drives progress. We measure progress toward our DEI related Strategic Goals to ensure activity and movement toward a more inclusive culture both internally and with our clients. While the review of data will not alone spur transformational change, we believe that transparent and honest communication among our staff, colleagues and clients will drive progress. We schedule and conduct purposeful DEI discussion with staff and colleagues </w:t>
            </w:r>
            <w:r w:rsidR="00BC7443" w:rsidRPr="00C119C1">
              <w:rPr>
                <w:rStyle w:val="normaltextrun"/>
                <w:rFonts w:asciiTheme="minorHAnsi" w:eastAsiaTheme="minorEastAsia" w:hAnsiTheme="minorHAnsi" w:cstheme="minorBidi"/>
                <w:color w:val="000000" w:themeColor="text1"/>
                <w:szCs w:val="24"/>
              </w:rPr>
              <w:t>to</w:t>
            </w:r>
            <w:r w:rsidRPr="00C119C1">
              <w:rPr>
                <w:rStyle w:val="normaltextrun"/>
                <w:rFonts w:asciiTheme="minorHAnsi" w:eastAsiaTheme="minorEastAsia" w:hAnsiTheme="minorHAnsi" w:cstheme="minorBidi"/>
                <w:color w:val="000000" w:themeColor="text1"/>
                <w:szCs w:val="24"/>
              </w:rPr>
              <w:t xml:space="preserve"> foster deeper understanding of inequities and help encourage the adoption of standards that will become a powerful engine for equity industry wide</w:t>
            </w:r>
            <w:r w:rsidR="005C023E" w:rsidRPr="00C119C1">
              <w:rPr>
                <w:rStyle w:val="normaltextrun"/>
                <w:rFonts w:asciiTheme="minorHAnsi" w:eastAsiaTheme="minorEastAsia" w:hAnsiTheme="minorHAnsi" w:cstheme="minorBidi"/>
                <w:color w:val="000000" w:themeColor="text1"/>
                <w:szCs w:val="24"/>
              </w:rPr>
              <w:t xml:space="preserve">. </w:t>
            </w:r>
          </w:p>
          <w:p w14:paraId="5F4C9E48" w14:textId="41C80704" w:rsidR="009255C1" w:rsidRPr="00A2550B" w:rsidRDefault="009255C1" w:rsidP="0E719950">
            <w:pPr>
              <w:rPr>
                <w:rFonts w:asciiTheme="minorHAnsi" w:hAnsiTheme="minorHAnsi" w:cstheme="minorBidi"/>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21"/>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lastRenderedPageBreak/>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6F5A7494">
        <w:tc>
          <w:tcPr>
            <w:tcW w:w="8856" w:type="dxa"/>
            <w:shd w:val="clear" w:color="auto" w:fill="FFFF99"/>
          </w:tcPr>
          <w:p w14:paraId="10C59899" w14:textId="77777777" w:rsidR="001F5228" w:rsidRDefault="001F5228" w:rsidP="6F5A7494">
            <w:pPr>
              <w:rPr>
                <w:rFonts w:asciiTheme="minorHAnsi" w:hAnsiTheme="minorHAnsi" w:cstheme="minorBidi"/>
              </w:rPr>
            </w:pPr>
          </w:p>
          <w:p w14:paraId="388A405C" w14:textId="77777777" w:rsidR="0009502C" w:rsidRDefault="005037B5" w:rsidP="6F5A7494">
            <w:pPr>
              <w:rPr>
                <w:rFonts w:asciiTheme="minorHAnsi" w:hAnsiTheme="minorHAnsi" w:cstheme="minorBidi"/>
              </w:rPr>
            </w:pPr>
            <w:r>
              <w:rPr>
                <w:rFonts w:asciiTheme="minorHAnsi" w:hAnsiTheme="minorHAnsi" w:cstheme="minorBidi"/>
              </w:rPr>
              <w:t xml:space="preserve">We have </w:t>
            </w:r>
            <w:r w:rsidR="00936D70">
              <w:rPr>
                <w:rFonts w:asciiTheme="minorHAnsi" w:hAnsiTheme="minorHAnsi" w:cstheme="minorBidi"/>
              </w:rPr>
              <w:t xml:space="preserve">included the </w:t>
            </w:r>
            <w:r>
              <w:rPr>
                <w:rFonts w:asciiTheme="minorHAnsi" w:hAnsiTheme="minorHAnsi" w:cstheme="minorBidi"/>
              </w:rPr>
              <w:t xml:space="preserve">audited </w:t>
            </w:r>
            <w:r w:rsidR="00F86D20">
              <w:rPr>
                <w:rFonts w:asciiTheme="minorHAnsi" w:hAnsiTheme="minorHAnsi" w:cstheme="minorBidi"/>
              </w:rPr>
              <w:t xml:space="preserve">financial statements from our last two fiscal years </w:t>
            </w:r>
            <w:r w:rsidR="007C00E6">
              <w:rPr>
                <w:rFonts w:asciiTheme="minorHAnsi" w:hAnsiTheme="minorHAnsi" w:cstheme="minorBidi"/>
              </w:rPr>
              <w:t xml:space="preserve">as attachments to </w:t>
            </w:r>
            <w:r w:rsidR="00F86D20">
              <w:rPr>
                <w:rFonts w:asciiTheme="minorHAnsi" w:hAnsiTheme="minorHAnsi" w:cstheme="minorBidi"/>
              </w:rPr>
              <w:t>the Executive Summary.</w:t>
            </w:r>
          </w:p>
          <w:p w14:paraId="0772C468" w14:textId="75CE920B" w:rsidR="001F5228" w:rsidRPr="00A2550B" w:rsidRDefault="001F5228" w:rsidP="6F5A7494">
            <w:pPr>
              <w:rPr>
                <w:rFonts w:asciiTheme="minorHAnsi" w:hAnsiTheme="minorHAnsi" w:cstheme="minorBidi"/>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21"/>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4C3130F9" w14:textId="77777777" w:rsidR="001F5228" w:rsidRDefault="001F5228" w:rsidP="0009502C">
            <w:pPr>
              <w:rPr>
                <w:rFonts w:asciiTheme="minorHAnsi" w:hAnsiTheme="minorHAnsi" w:cstheme="minorHAnsi"/>
                <w:szCs w:val="24"/>
              </w:rPr>
            </w:pPr>
          </w:p>
          <w:p w14:paraId="61402B6B" w14:textId="34375CD7" w:rsidR="0009502C" w:rsidRDefault="002A1A1E" w:rsidP="0009502C">
            <w:pPr>
              <w:rPr>
                <w:rFonts w:asciiTheme="minorHAnsi" w:hAnsiTheme="minorHAnsi" w:cstheme="minorHAnsi"/>
                <w:szCs w:val="24"/>
              </w:rPr>
            </w:pPr>
            <w:r>
              <w:rPr>
                <w:rFonts w:asciiTheme="minorHAnsi" w:hAnsiTheme="minorHAnsi" w:cstheme="minorHAnsi"/>
                <w:szCs w:val="24"/>
              </w:rPr>
              <w:t xml:space="preserve">As indicated in the signed Executive Summary, Thomas P. Miller, Founder and Chairperson of the </w:t>
            </w:r>
            <w:r w:rsidR="00527177">
              <w:rPr>
                <w:rFonts w:asciiTheme="minorHAnsi" w:hAnsiTheme="minorHAnsi" w:cstheme="minorHAnsi"/>
                <w:szCs w:val="24"/>
              </w:rPr>
              <w:t>Board,</w:t>
            </w:r>
            <w:r>
              <w:rPr>
                <w:rFonts w:asciiTheme="minorHAnsi" w:hAnsiTheme="minorHAnsi" w:cstheme="minorHAnsi"/>
                <w:szCs w:val="24"/>
              </w:rPr>
              <w:t xml:space="preserve"> takes personal responsibility for the correctness of all financial information submitted with this proposal.</w:t>
            </w:r>
          </w:p>
          <w:p w14:paraId="17B2F502" w14:textId="7255447C" w:rsidR="001F5228" w:rsidRPr="00A2550B" w:rsidRDefault="001F5228"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21"/>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2410509E" w14:textId="77777777" w:rsidR="001F5228" w:rsidRDefault="001F5228" w:rsidP="0009502C">
            <w:pPr>
              <w:rPr>
                <w:rFonts w:asciiTheme="minorHAnsi" w:hAnsiTheme="minorHAnsi" w:cstheme="minorHAnsi"/>
                <w:szCs w:val="24"/>
              </w:rPr>
            </w:pPr>
          </w:p>
          <w:p w14:paraId="6EE2153A" w14:textId="26992F40" w:rsidR="0009502C" w:rsidRDefault="00A20A21" w:rsidP="0009502C">
            <w:pPr>
              <w:rPr>
                <w:rFonts w:asciiTheme="minorHAnsi" w:hAnsiTheme="minorHAnsi" w:cstheme="minorHAnsi"/>
                <w:szCs w:val="24"/>
              </w:rPr>
            </w:pPr>
            <w:r>
              <w:rPr>
                <w:rFonts w:asciiTheme="minorHAnsi" w:hAnsiTheme="minorHAnsi" w:cstheme="minorHAnsi"/>
                <w:szCs w:val="24"/>
              </w:rPr>
              <w:t xml:space="preserve">As per </w:t>
            </w:r>
            <w:r w:rsidR="005D6FFB">
              <w:rPr>
                <w:rFonts w:asciiTheme="minorHAnsi" w:hAnsiTheme="minorHAnsi" w:cstheme="minorHAnsi"/>
                <w:szCs w:val="24"/>
              </w:rPr>
              <w:t>2.3.6, TPMA accepts all the mandatory and substantively mandatory contract clauses provided in the sample contract.</w:t>
            </w:r>
          </w:p>
          <w:p w14:paraId="11192AAE" w14:textId="550B0D76" w:rsidR="001F5228" w:rsidRPr="00A2550B" w:rsidRDefault="001F5228"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443A6BD9" w:rsidR="0009502C" w:rsidRPr="00A2550B" w:rsidRDefault="006405E9" w:rsidP="006676D8">
      <w:pPr>
        <w:widowControl/>
        <w:numPr>
          <w:ilvl w:val="2"/>
          <w:numId w:val="21"/>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B8238E" w:rsidRPr="00B8238E">
        <w:rPr>
          <w:rFonts w:asciiTheme="minorHAnsi" w:hAnsiTheme="minorHAnsi" w:cstheme="minorHAnsi"/>
          <w:bCs/>
          <w:szCs w:val="24"/>
        </w:rPr>
        <w:t xml:space="preserve">three </w:t>
      </w:r>
      <w:r w:rsidR="006676D8" w:rsidRPr="00B8238E">
        <w:rPr>
          <w:rFonts w:asciiTheme="minorHAnsi" w:hAnsiTheme="minorHAnsi" w:cstheme="minorHAnsi"/>
          <w:bCs/>
          <w:szCs w:val="24"/>
        </w:rPr>
        <w:t>(</w:t>
      </w:r>
      <w:r w:rsidR="00B8238E" w:rsidRPr="00B8238E">
        <w:rPr>
          <w:rFonts w:asciiTheme="minorHAnsi" w:hAnsiTheme="minorHAnsi" w:cstheme="minorHAnsi"/>
          <w:bCs/>
          <w:szCs w:val="24"/>
        </w:rPr>
        <w:t>3</w:t>
      </w:r>
      <w:r w:rsidR="006676D8" w:rsidRPr="00B8238E">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6"/>
        <w:gridCol w:w="5284"/>
      </w:tblGrid>
      <w:tr w:rsidR="0009502C" w:rsidRPr="00A2550B" w14:paraId="0318FD3D" w14:textId="77777777" w:rsidTr="00E53110">
        <w:tc>
          <w:tcPr>
            <w:tcW w:w="433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lastRenderedPageBreak/>
              <w:t>Customer 1</w:t>
            </w:r>
          </w:p>
        </w:tc>
        <w:tc>
          <w:tcPr>
            <w:tcW w:w="4292"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C6235C" w:rsidRPr="00A2550B" w14:paraId="4051EF31" w14:textId="77777777" w:rsidTr="000C7A8C">
        <w:tc>
          <w:tcPr>
            <w:tcW w:w="4338" w:type="dxa"/>
            <w:vAlign w:val="bottom"/>
          </w:tcPr>
          <w:p w14:paraId="70B7CA00" w14:textId="77777777" w:rsidR="00C6235C" w:rsidRPr="00A2550B" w:rsidRDefault="00C6235C" w:rsidP="00C6235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shd w:val="clear" w:color="auto" w:fill="FFFF99"/>
            <w:vAlign w:val="bottom"/>
          </w:tcPr>
          <w:p w14:paraId="55CD4EB9" w14:textId="2C5C1247" w:rsidR="00C6235C" w:rsidRPr="00A2550B" w:rsidRDefault="00C6235C" w:rsidP="00C6235C">
            <w:pPr>
              <w:rPr>
                <w:rFonts w:asciiTheme="minorHAnsi" w:hAnsiTheme="minorHAnsi" w:cstheme="minorHAnsi"/>
                <w:szCs w:val="24"/>
              </w:rPr>
            </w:pPr>
            <w:r>
              <w:rPr>
                <w:rStyle w:val="normaltextrun"/>
                <w:rFonts w:ascii="Calibri" w:hAnsi="Calibri" w:cs="Calibri"/>
                <w:color w:val="000000"/>
              </w:rPr>
              <w:t>Lincoln Trail Area Development District</w:t>
            </w:r>
            <w:r>
              <w:rPr>
                <w:rStyle w:val="eop"/>
                <w:rFonts w:ascii="Calibri" w:hAnsi="Calibri" w:cs="Calibri"/>
                <w:color w:val="000000"/>
              </w:rPr>
              <w:t> </w:t>
            </w:r>
          </w:p>
        </w:tc>
      </w:tr>
      <w:tr w:rsidR="00C6235C" w:rsidRPr="00A2550B" w14:paraId="492DD976" w14:textId="77777777" w:rsidTr="000C7A8C">
        <w:tc>
          <w:tcPr>
            <w:tcW w:w="4338" w:type="dxa"/>
            <w:vAlign w:val="bottom"/>
          </w:tcPr>
          <w:p w14:paraId="2251F86E" w14:textId="77777777" w:rsidR="00C6235C" w:rsidRPr="00A2550B" w:rsidRDefault="00C6235C" w:rsidP="00C6235C">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shd w:val="clear" w:color="auto" w:fill="FFFF99"/>
            <w:vAlign w:val="bottom"/>
          </w:tcPr>
          <w:p w14:paraId="3DB44E55" w14:textId="6AA90D80" w:rsidR="00C6235C" w:rsidRPr="00A2550B" w:rsidRDefault="005C186B" w:rsidP="005C186B">
            <w:pPr>
              <w:rPr>
                <w:rFonts w:asciiTheme="minorHAnsi" w:hAnsiTheme="minorHAnsi" w:cstheme="minorHAnsi"/>
                <w:szCs w:val="24"/>
              </w:rPr>
            </w:pPr>
            <w:r>
              <w:rPr>
                <w:rStyle w:val="normaltextrun"/>
                <w:rFonts w:ascii="Calibri" w:hAnsi="Calibri" w:cs="Calibri"/>
                <w:color w:val="000000"/>
              </w:rPr>
              <w:t>750 S. Provident Way</w:t>
            </w:r>
            <w:r>
              <w:rPr>
                <w:rStyle w:val="eop"/>
                <w:rFonts w:ascii="Calibri" w:hAnsi="Calibri" w:cs="Calibri"/>
                <w:color w:val="000000"/>
              </w:rPr>
              <w:t> </w:t>
            </w:r>
          </w:p>
        </w:tc>
      </w:tr>
      <w:tr w:rsidR="00C6235C" w:rsidRPr="00A2550B" w14:paraId="110E1716" w14:textId="77777777" w:rsidTr="000C7A8C">
        <w:tc>
          <w:tcPr>
            <w:tcW w:w="4338" w:type="dxa"/>
            <w:vAlign w:val="bottom"/>
          </w:tcPr>
          <w:p w14:paraId="7EFC61C0" w14:textId="77777777" w:rsidR="00C6235C" w:rsidRPr="00A2550B" w:rsidRDefault="00C6235C" w:rsidP="00C6235C">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shd w:val="clear" w:color="auto" w:fill="FFFF99"/>
            <w:vAlign w:val="bottom"/>
          </w:tcPr>
          <w:p w14:paraId="333EF371" w14:textId="4882F0BB" w:rsidR="00C6235C" w:rsidRPr="00A2550B" w:rsidRDefault="005C186B" w:rsidP="00C6235C">
            <w:pPr>
              <w:rPr>
                <w:rFonts w:asciiTheme="minorHAnsi" w:hAnsiTheme="minorHAnsi" w:cstheme="minorHAnsi"/>
                <w:szCs w:val="24"/>
              </w:rPr>
            </w:pPr>
            <w:r>
              <w:rPr>
                <w:rStyle w:val="normaltextrun"/>
                <w:rFonts w:ascii="Calibri" w:hAnsi="Calibri" w:cs="Calibri"/>
                <w:color w:val="000000"/>
              </w:rPr>
              <w:t>Elizabethtown, KY 42701</w:t>
            </w:r>
            <w:r>
              <w:rPr>
                <w:rStyle w:val="eop"/>
                <w:rFonts w:ascii="Calibri" w:hAnsi="Calibri" w:cs="Calibri"/>
                <w:color w:val="000000"/>
              </w:rPr>
              <w:t> </w:t>
            </w:r>
          </w:p>
        </w:tc>
      </w:tr>
      <w:tr w:rsidR="00C6235C" w:rsidRPr="00A2550B" w14:paraId="2D67BE85" w14:textId="77777777" w:rsidTr="000C7A8C">
        <w:tc>
          <w:tcPr>
            <w:tcW w:w="4338" w:type="dxa"/>
            <w:vAlign w:val="bottom"/>
          </w:tcPr>
          <w:p w14:paraId="64986315" w14:textId="77777777" w:rsidR="00C6235C" w:rsidRPr="00A2550B" w:rsidRDefault="00C6235C" w:rsidP="00C6235C">
            <w:pPr>
              <w:rPr>
                <w:rFonts w:asciiTheme="minorHAnsi" w:hAnsiTheme="minorHAnsi" w:cstheme="minorHAnsi"/>
                <w:szCs w:val="24"/>
              </w:rPr>
            </w:pPr>
            <w:r w:rsidRPr="00A2550B">
              <w:rPr>
                <w:rFonts w:asciiTheme="minorHAnsi" w:hAnsiTheme="minorHAnsi" w:cstheme="minorHAnsi"/>
                <w:szCs w:val="24"/>
              </w:rPr>
              <w:t>Company Website Address</w:t>
            </w:r>
          </w:p>
        </w:tc>
        <w:tc>
          <w:tcPr>
            <w:tcW w:w="4292" w:type="dxa"/>
            <w:shd w:val="clear" w:color="auto" w:fill="FFFF99"/>
            <w:vAlign w:val="bottom"/>
          </w:tcPr>
          <w:p w14:paraId="451E1065" w14:textId="1ADE4AC1" w:rsidR="00CF4385" w:rsidRPr="00A2550B" w:rsidRDefault="00CF4385" w:rsidP="00C6235C">
            <w:pPr>
              <w:rPr>
                <w:rFonts w:asciiTheme="minorHAnsi" w:hAnsiTheme="minorHAnsi" w:cstheme="minorHAnsi"/>
                <w:szCs w:val="24"/>
              </w:rPr>
            </w:pPr>
            <w:r w:rsidRPr="00CF4385">
              <w:rPr>
                <w:rFonts w:asciiTheme="minorHAnsi" w:hAnsiTheme="minorHAnsi" w:cstheme="minorHAnsi"/>
                <w:szCs w:val="24"/>
              </w:rPr>
              <w:t xml:space="preserve">Lincoln Trail Area Development District </w:t>
            </w:r>
            <w:r w:rsidRPr="00CF4385">
              <w:rPr>
                <w:rFonts w:asciiTheme="minorHAnsi" w:hAnsiTheme="minorHAnsi" w:cstheme="minorHAnsi" w:hint="eastAsia"/>
                <w:szCs w:val="24"/>
              </w:rPr>
              <w:t>–</w:t>
            </w:r>
            <w:r w:rsidRPr="00CF4385">
              <w:rPr>
                <w:rFonts w:asciiTheme="minorHAnsi" w:hAnsiTheme="minorHAnsi" w:cstheme="minorHAnsi"/>
                <w:szCs w:val="24"/>
              </w:rPr>
              <w:t xml:space="preserve"> </w:t>
            </w:r>
            <w:r w:rsidRPr="00CF4385">
              <w:rPr>
                <w:rFonts w:asciiTheme="minorHAnsi" w:hAnsiTheme="minorHAnsi" w:cstheme="minorHAnsi" w:hint="eastAsia"/>
                <w:szCs w:val="24"/>
              </w:rPr>
              <w:t>–</w:t>
            </w:r>
            <w:r w:rsidRPr="00CF4385">
              <w:rPr>
                <w:rFonts w:asciiTheme="minorHAnsi" w:hAnsiTheme="minorHAnsi" w:cstheme="minorHAnsi"/>
                <w:szCs w:val="24"/>
              </w:rPr>
              <w:t xml:space="preserve"> established 1968 </w:t>
            </w:r>
            <w:r w:rsidRPr="00CF4385">
              <w:rPr>
                <w:rFonts w:asciiTheme="minorHAnsi" w:hAnsiTheme="minorHAnsi" w:cstheme="minorHAnsi" w:hint="eastAsia"/>
                <w:szCs w:val="24"/>
              </w:rPr>
              <w:t>–</w:t>
            </w:r>
            <w:r w:rsidRPr="00CF4385">
              <w:rPr>
                <w:rFonts w:asciiTheme="minorHAnsi" w:hAnsiTheme="minorHAnsi" w:cstheme="minorHAnsi"/>
                <w:szCs w:val="24"/>
              </w:rPr>
              <w:t xml:space="preserve"> (ltadd.org)</w:t>
            </w:r>
          </w:p>
        </w:tc>
      </w:tr>
      <w:tr w:rsidR="00C6235C" w:rsidRPr="00A2550B" w14:paraId="5C57E457" w14:textId="77777777" w:rsidTr="000C7A8C">
        <w:tc>
          <w:tcPr>
            <w:tcW w:w="4338" w:type="dxa"/>
            <w:vAlign w:val="bottom"/>
          </w:tcPr>
          <w:p w14:paraId="0004C744" w14:textId="77777777" w:rsidR="00C6235C" w:rsidRPr="00A2550B" w:rsidRDefault="00C6235C" w:rsidP="00C6235C">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shd w:val="clear" w:color="auto" w:fill="FFFF99"/>
            <w:vAlign w:val="bottom"/>
          </w:tcPr>
          <w:p w14:paraId="525D321A" w14:textId="4D43E698" w:rsidR="00C6235C" w:rsidRPr="00A2550B" w:rsidRDefault="00CF4385" w:rsidP="00C6235C">
            <w:pPr>
              <w:rPr>
                <w:rFonts w:asciiTheme="minorHAnsi" w:hAnsiTheme="minorHAnsi" w:cstheme="minorHAnsi"/>
                <w:szCs w:val="24"/>
              </w:rPr>
            </w:pPr>
            <w:r>
              <w:rPr>
                <w:rStyle w:val="normaltextrun"/>
                <w:rFonts w:ascii="Calibri" w:hAnsi="Calibri" w:cs="Calibri"/>
                <w:color w:val="000000"/>
              </w:rPr>
              <w:t>Daniel London</w:t>
            </w:r>
            <w:r w:rsidR="005C186B">
              <w:rPr>
                <w:rStyle w:val="normaltextrun"/>
                <w:rFonts w:ascii="Calibri" w:hAnsi="Calibri" w:cs="Calibri"/>
                <w:color w:val="000000"/>
              </w:rPr>
              <w:t xml:space="preserve"> </w:t>
            </w:r>
          </w:p>
        </w:tc>
      </w:tr>
      <w:tr w:rsidR="00C6235C" w:rsidRPr="00A2550B" w14:paraId="4549D602" w14:textId="77777777" w:rsidTr="000C7A8C">
        <w:tc>
          <w:tcPr>
            <w:tcW w:w="4338" w:type="dxa"/>
            <w:vAlign w:val="bottom"/>
          </w:tcPr>
          <w:p w14:paraId="4EF92ACE" w14:textId="61E469AB" w:rsidR="00C6235C" w:rsidRPr="00A2550B" w:rsidRDefault="00C6235C" w:rsidP="00C6235C">
            <w:pPr>
              <w:rPr>
                <w:rFonts w:asciiTheme="minorHAnsi" w:hAnsiTheme="minorHAnsi" w:cstheme="minorHAnsi"/>
                <w:szCs w:val="24"/>
              </w:rPr>
            </w:pPr>
            <w:r w:rsidRPr="00A2550B">
              <w:rPr>
                <w:rFonts w:asciiTheme="minorHAnsi" w:hAnsiTheme="minorHAnsi" w:cstheme="minorHAnsi"/>
                <w:szCs w:val="24"/>
              </w:rPr>
              <w:t>Contact Title</w:t>
            </w:r>
          </w:p>
        </w:tc>
        <w:tc>
          <w:tcPr>
            <w:tcW w:w="4292" w:type="dxa"/>
            <w:shd w:val="clear" w:color="auto" w:fill="FFFF99"/>
            <w:vAlign w:val="bottom"/>
          </w:tcPr>
          <w:p w14:paraId="47EC0A09" w14:textId="203FA715" w:rsidR="00C6235C" w:rsidRPr="00A2550B" w:rsidRDefault="00CF4385" w:rsidP="00C6235C">
            <w:pPr>
              <w:rPr>
                <w:rFonts w:asciiTheme="minorHAnsi" w:hAnsiTheme="minorHAnsi" w:cstheme="minorHAnsi"/>
                <w:szCs w:val="24"/>
              </w:rPr>
            </w:pPr>
            <w:r>
              <w:rPr>
                <w:rFonts w:asciiTheme="minorHAnsi" w:hAnsiTheme="minorHAnsi" w:cstheme="minorHAnsi"/>
                <w:szCs w:val="24"/>
              </w:rPr>
              <w:t>Executive Director</w:t>
            </w:r>
          </w:p>
        </w:tc>
      </w:tr>
      <w:tr w:rsidR="00C6235C" w:rsidRPr="00A2550B" w14:paraId="5C86AA6A" w14:textId="77777777" w:rsidTr="000C7A8C">
        <w:tc>
          <w:tcPr>
            <w:tcW w:w="4338" w:type="dxa"/>
            <w:vAlign w:val="bottom"/>
          </w:tcPr>
          <w:p w14:paraId="32DFBD97" w14:textId="77777777" w:rsidR="00C6235C" w:rsidRPr="00A2550B" w:rsidRDefault="00C6235C" w:rsidP="00C6235C">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shd w:val="clear" w:color="auto" w:fill="FFFF99"/>
            <w:vAlign w:val="bottom"/>
          </w:tcPr>
          <w:p w14:paraId="4C79177B" w14:textId="02792044" w:rsidR="00C6235C" w:rsidRPr="00A2550B" w:rsidRDefault="00C6235C" w:rsidP="00C6235C">
            <w:pPr>
              <w:rPr>
                <w:rFonts w:asciiTheme="minorHAnsi" w:hAnsiTheme="minorHAnsi" w:cstheme="minorHAnsi"/>
                <w:szCs w:val="24"/>
              </w:rPr>
            </w:pPr>
            <w:r>
              <w:rPr>
                <w:rStyle w:val="normaltextrun"/>
                <w:rFonts w:ascii="Calibri" w:hAnsi="Calibri" w:cs="Calibri"/>
                <w:color w:val="000000"/>
              </w:rPr>
              <w:t>270-769-2393</w:t>
            </w:r>
            <w:r>
              <w:rPr>
                <w:rStyle w:val="eop"/>
                <w:rFonts w:ascii="Calibri" w:hAnsi="Calibri" w:cs="Calibri"/>
                <w:color w:val="000000"/>
              </w:rPr>
              <w:t> </w:t>
            </w:r>
          </w:p>
        </w:tc>
      </w:tr>
      <w:tr w:rsidR="00C6235C" w:rsidRPr="00A2550B" w14:paraId="136DEFE0" w14:textId="77777777" w:rsidTr="000C7A8C">
        <w:tc>
          <w:tcPr>
            <w:tcW w:w="4338" w:type="dxa"/>
            <w:vAlign w:val="bottom"/>
          </w:tcPr>
          <w:p w14:paraId="35449174" w14:textId="77777777" w:rsidR="00C6235C" w:rsidRPr="00A2550B" w:rsidRDefault="00C6235C" w:rsidP="00C6235C">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shd w:val="clear" w:color="auto" w:fill="FFFF99"/>
            <w:vAlign w:val="bottom"/>
          </w:tcPr>
          <w:p w14:paraId="228CED07" w14:textId="7BD778DD" w:rsidR="00C6235C" w:rsidRPr="00A2550B" w:rsidRDefault="00C6235C" w:rsidP="00C6235C">
            <w:pPr>
              <w:rPr>
                <w:rFonts w:asciiTheme="minorHAnsi" w:hAnsiTheme="minorHAnsi" w:cstheme="minorHAnsi"/>
                <w:szCs w:val="24"/>
              </w:rPr>
            </w:pPr>
            <w:r>
              <w:rPr>
                <w:rStyle w:val="normaltextrun"/>
                <w:rFonts w:ascii="Calibri" w:hAnsi="Calibri" w:cs="Calibri"/>
                <w:color w:val="000000"/>
              </w:rPr>
              <w:t>270-769-2993</w:t>
            </w:r>
            <w:r>
              <w:rPr>
                <w:rStyle w:val="eop"/>
                <w:rFonts w:ascii="Calibri" w:hAnsi="Calibri" w:cs="Calibri"/>
                <w:color w:val="000000"/>
              </w:rPr>
              <w:t> </w:t>
            </w:r>
          </w:p>
        </w:tc>
      </w:tr>
      <w:tr w:rsidR="00C6235C" w:rsidRPr="00A2550B" w14:paraId="11E8EEB2" w14:textId="77777777" w:rsidTr="000C7A8C">
        <w:tc>
          <w:tcPr>
            <w:tcW w:w="4338" w:type="dxa"/>
            <w:vAlign w:val="bottom"/>
          </w:tcPr>
          <w:p w14:paraId="7B981F0A" w14:textId="77777777" w:rsidR="00C6235C" w:rsidRPr="00A2550B" w:rsidRDefault="00C6235C" w:rsidP="00C6235C">
            <w:pPr>
              <w:rPr>
                <w:rFonts w:asciiTheme="minorHAnsi" w:hAnsiTheme="minorHAnsi" w:cstheme="minorHAnsi"/>
                <w:szCs w:val="24"/>
              </w:rPr>
            </w:pPr>
            <w:r w:rsidRPr="00A2550B">
              <w:rPr>
                <w:rFonts w:asciiTheme="minorHAnsi" w:hAnsiTheme="minorHAnsi" w:cstheme="minorHAnsi"/>
                <w:szCs w:val="24"/>
              </w:rPr>
              <w:t>Contact E-mail</w:t>
            </w:r>
          </w:p>
        </w:tc>
        <w:tc>
          <w:tcPr>
            <w:tcW w:w="4292" w:type="dxa"/>
            <w:shd w:val="clear" w:color="auto" w:fill="FFFF99"/>
            <w:vAlign w:val="bottom"/>
          </w:tcPr>
          <w:p w14:paraId="15EBCB74" w14:textId="276AEC81" w:rsidR="00C6235C" w:rsidRPr="00A2550B" w:rsidRDefault="00C6235C" w:rsidP="00C6235C">
            <w:pPr>
              <w:rPr>
                <w:rFonts w:asciiTheme="minorHAnsi" w:hAnsiTheme="minorHAnsi" w:cstheme="minorHAnsi"/>
                <w:szCs w:val="24"/>
              </w:rPr>
            </w:pPr>
            <w:r>
              <w:rPr>
                <w:rStyle w:val="normaltextrun"/>
                <w:rFonts w:ascii="Calibri" w:hAnsi="Calibri" w:cs="Calibri"/>
                <w:color w:val="000000"/>
              </w:rPr>
              <w:t>daniel@ltadd.org</w:t>
            </w:r>
            <w:r>
              <w:rPr>
                <w:rStyle w:val="eop"/>
                <w:rFonts w:ascii="Calibri" w:hAnsi="Calibri" w:cs="Calibri"/>
                <w:color w:val="000000"/>
              </w:rPr>
              <w:t> </w:t>
            </w:r>
          </w:p>
        </w:tc>
      </w:tr>
      <w:tr w:rsidR="00C6235C" w:rsidRPr="00A2550B" w14:paraId="37CBD940" w14:textId="77777777" w:rsidTr="000C7A8C">
        <w:tc>
          <w:tcPr>
            <w:tcW w:w="4338" w:type="dxa"/>
            <w:tcBorders>
              <w:bottom w:val="single" w:sz="4" w:space="0" w:color="auto"/>
            </w:tcBorders>
            <w:vAlign w:val="bottom"/>
          </w:tcPr>
          <w:p w14:paraId="3019D611" w14:textId="77777777" w:rsidR="00C6235C" w:rsidRPr="00A2550B" w:rsidRDefault="00C6235C" w:rsidP="00C6235C">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tcBorders>
              <w:bottom w:val="single" w:sz="4" w:space="0" w:color="auto"/>
            </w:tcBorders>
            <w:shd w:val="clear" w:color="auto" w:fill="FFFF99"/>
            <w:vAlign w:val="bottom"/>
          </w:tcPr>
          <w:p w14:paraId="6A3614E1" w14:textId="33C7ADF8" w:rsidR="00C6235C" w:rsidRPr="00A2550B" w:rsidRDefault="00C6235C" w:rsidP="00C6235C">
            <w:pPr>
              <w:rPr>
                <w:rFonts w:asciiTheme="minorHAnsi" w:hAnsiTheme="minorHAnsi" w:cstheme="minorHAnsi"/>
                <w:szCs w:val="24"/>
              </w:rPr>
            </w:pPr>
            <w:r>
              <w:rPr>
                <w:rStyle w:val="normaltextrun"/>
                <w:rFonts w:ascii="Calibri" w:hAnsi="Calibri" w:cs="Calibri"/>
                <w:color w:val="000000"/>
              </w:rPr>
              <w:t>Non- Profit Economic Development</w:t>
            </w:r>
            <w:r>
              <w:rPr>
                <w:rStyle w:val="eop"/>
                <w:rFonts w:ascii="Calibri" w:hAnsi="Calibri" w:cs="Calibri"/>
                <w:color w:val="000000"/>
              </w:rPr>
              <w:t> </w:t>
            </w:r>
          </w:p>
        </w:tc>
      </w:tr>
      <w:tr w:rsidR="0009502C" w:rsidRPr="00A2550B" w14:paraId="469B616D" w14:textId="77777777" w:rsidTr="00E53110">
        <w:tc>
          <w:tcPr>
            <w:tcW w:w="433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292"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E0458F" w:rsidRPr="00A2550B" w14:paraId="1F665529" w14:textId="77777777" w:rsidTr="00B70681">
        <w:tc>
          <w:tcPr>
            <w:tcW w:w="4338" w:type="dxa"/>
            <w:vAlign w:val="bottom"/>
          </w:tcPr>
          <w:p w14:paraId="51F571AE" w14:textId="77777777"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tcBorders>
              <w:top w:val="single" w:sz="4" w:space="0" w:color="auto"/>
              <w:left w:val="nil"/>
              <w:bottom w:val="single" w:sz="4" w:space="0" w:color="auto"/>
              <w:right w:val="single" w:sz="4" w:space="0" w:color="auto"/>
            </w:tcBorders>
            <w:shd w:val="clear" w:color="auto" w:fill="FFFF99"/>
          </w:tcPr>
          <w:p w14:paraId="50170D4E" w14:textId="2A9B623F" w:rsidR="00E0458F" w:rsidRPr="00E0458F" w:rsidRDefault="00E0458F" w:rsidP="00E0458F">
            <w:pPr>
              <w:rPr>
                <w:rStyle w:val="normaltextrun"/>
                <w:rFonts w:ascii="Calibri" w:hAnsi="Calibri" w:cs="Calibri"/>
                <w:color w:val="000000"/>
              </w:rPr>
            </w:pPr>
            <w:r w:rsidRPr="00E0458F">
              <w:rPr>
                <w:rStyle w:val="normaltextrun"/>
                <w:rFonts w:ascii="Calibri" w:hAnsi="Calibri" w:cs="Calibri"/>
                <w:color w:val="000000"/>
              </w:rPr>
              <w:t>Ambassador Enterprises</w:t>
            </w:r>
          </w:p>
        </w:tc>
      </w:tr>
      <w:tr w:rsidR="00E0458F" w:rsidRPr="00A2550B" w14:paraId="6949E424" w14:textId="77777777" w:rsidTr="00B70681">
        <w:tc>
          <w:tcPr>
            <w:tcW w:w="4338" w:type="dxa"/>
            <w:vAlign w:val="bottom"/>
          </w:tcPr>
          <w:p w14:paraId="33DDC7FB" w14:textId="77777777"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tcBorders>
              <w:top w:val="single" w:sz="4" w:space="0" w:color="auto"/>
              <w:left w:val="nil"/>
              <w:bottom w:val="single" w:sz="4" w:space="0" w:color="auto"/>
              <w:right w:val="single" w:sz="4" w:space="0" w:color="auto"/>
            </w:tcBorders>
            <w:shd w:val="clear" w:color="auto" w:fill="FFFF99"/>
          </w:tcPr>
          <w:p w14:paraId="5E4DC9F7" w14:textId="6078F8C7" w:rsidR="00E0458F" w:rsidRPr="00E0458F" w:rsidRDefault="00E0458F" w:rsidP="00E0458F">
            <w:pPr>
              <w:rPr>
                <w:rStyle w:val="normaltextrun"/>
                <w:rFonts w:ascii="Calibri" w:hAnsi="Calibri" w:cs="Calibri"/>
                <w:color w:val="000000"/>
              </w:rPr>
            </w:pPr>
            <w:r w:rsidRPr="00E0458F">
              <w:rPr>
                <w:rStyle w:val="normaltextrun"/>
                <w:rFonts w:ascii="Calibri" w:hAnsi="Calibri" w:cs="Calibri"/>
                <w:color w:val="000000"/>
              </w:rPr>
              <w:t>11020 Diebold Rd</w:t>
            </w:r>
          </w:p>
        </w:tc>
      </w:tr>
      <w:tr w:rsidR="00E0458F" w:rsidRPr="00A2550B" w14:paraId="79394CB5" w14:textId="77777777" w:rsidTr="00B70681">
        <w:tc>
          <w:tcPr>
            <w:tcW w:w="4338" w:type="dxa"/>
            <w:vAlign w:val="bottom"/>
          </w:tcPr>
          <w:p w14:paraId="52C229FF" w14:textId="77777777"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tcBorders>
              <w:top w:val="single" w:sz="4" w:space="0" w:color="auto"/>
              <w:left w:val="nil"/>
              <w:bottom w:val="single" w:sz="4" w:space="0" w:color="auto"/>
              <w:right w:val="single" w:sz="4" w:space="0" w:color="auto"/>
            </w:tcBorders>
            <w:shd w:val="clear" w:color="auto" w:fill="FFFF99"/>
          </w:tcPr>
          <w:p w14:paraId="7DD1EB35" w14:textId="6F8003D9" w:rsidR="00E0458F" w:rsidRPr="00E0458F" w:rsidRDefault="00E0458F" w:rsidP="00955340">
            <w:pPr>
              <w:rPr>
                <w:rStyle w:val="normaltextrun"/>
                <w:rFonts w:ascii="Calibri" w:hAnsi="Calibri" w:cs="Calibri"/>
                <w:color w:val="000000"/>
              </w:rPr>
            </w:pPr>
            <w:r w:rsidRPr="00E0458F">
              <w:rPr>
                <w:rStyle w:val="normaltextrun"/>
                <w:rFonts w:ascii="Calibri" w:hAnsi="Calibri" w:cs="Calibri"/>
                <w:color w:val="000000"/>
              </w:rPr>
              <w:t>Fort Wayne, Indiana 46845</w:t>
            </w:r>
          </w:p>
        </w:tc>
      </w:tr>
      <w:tr w:rsidR="00E0458F" w:rsidRPr="00A2550B" w14:paraId="10F7D583" w14:textId="77777777" w:rsidTr="00B70681">
        <w:tc>
          <w:tcPr>
            <w:tcW w:w="4338" w:type="dxa"/>
            <w:vAlign w:val="bottom"/>
          </w:tcPr>
          <w:p w14:paraId="2640B0B8" w14:textId="77777777"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Company Website Address</w:t>
            </w:r>
          </w:p>
        </w:tc>
        <w:tc>
          <w:tcPr>
            <w:tcW w:w="4292" w:type="dxa"/>
            <w:tcBorders>
              <w:top w:val="single" w:sz="4" w:space="0" w:color="auto"/>
              <w:left w:val="nil"/>
              <w:bottom w:val="single" w:sz="4" w:space="0" w:color="auto"/>
              <w:right w:val="single" w:sz="4" w:space="0" w:color="auto"/>
            </w:tcBorders>
            <w:shd w:val="clear" w:color="auto" w:fill="FFFF99"/>
          </w:tcPr>
          <w:p w14:paraId="1AC84B27" w14:textId="2229BAAC" w:rsidR="00E0458F" w:rsidRPr="00E0458F" w:rsidRDefault="00E0458F" w:rsidP="00E0458F">
            <w:pPr>
              <w:rPr>
                <w:rStyle w:val="normaltextrun"/>
                <w:rFonts w:ascii="Calibri" w:hAnsi="Calibri" w:cs="Calibri"/>
                <w:color w:val="000000"/>
              </w:rPr>
            </w:pPr>
            <w:r w:rsidRPr="00E0458F">
              <w:rPr>
                <w:rStyle w:val="normaltextrun"/>
                <w:rFonts w:ascii="Calibri" w:hAnsi="Calibri" w:cs="Calibri"/>
                <w:color w:val="000000"/>
              </w:rPr>
              <w:t>https://ambassador-enterprises.com/</w:t>
            </w:r>
          </w:p>
        </w:tc>
      </w:tr>
      <w:tr w:rsidR="00E0458F" w:rsidRPr="00A2550B" w14:paraId="618D8639" w14:textId="77777777" w:rsidTr="00B70681">
        <w:tc>
          <w:tcPr>
            <w:tcW w:w="4338" w:type="dxa"/>
            <w:vAlign w:val="bottom"/>
          </w:tcPr>
          <w:p w14:paraId="0EC6BADD" w14:textId="77777777"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tcBorders>
              <w:top w:val="single" w:sz="4" w:space="0" w:color="auto"/>
              <w:left w:val="nil"/>
              <w:bottom w:val="single" w:sz="4" w:space="0" w:color="auto"/>
              <w:right w:val="single" w:sz="4" w:space="0" w:color="auto"/>
            </w:tcBorders>
            <w:shd w:val="clear" w:color="auto" w:fill="FFFF99"/>
          </w:tcPr>
          <w:p w14:paraId="78FB7391" w14:textId="6CFC0617" w:rsidR="00E0458F" w:rsidRPr="00E0458F" w:rsidRDefault="00E0458F" w:rsidP="00E0458F">
            <w:pPr>
              <w:rPr>
                <w:rStyle w:val="normaltextrun"/>
                <w:rFonts w:ascii="Calibri" w:hAnsi="Calibri" w:cs="Calibri"/>
                <w:color w:val="000000"/>
              </w:rPr>
            </w:pPr>
            <w:r w:rsidRPr="00E0458F">
              <w:rPr>
                <w:rStyle w:val="normaltextrun"/>
                <w:rFonts w:ascii="Calibri" w:hAnsi="Calibri" w:cs="Calibri"/>
                <w:color w:val="000000"/>
              </w:rPr>
              <w:t xml:space="preserve">Sherry Grate </w:t>
            </w:r>
          </w:p>
        </w:tc>
      </w:tr>
      <w:tr w:rsidR="00E0458F" w:rsidRPr="00A2550B" w14:paraId="39B779B4" w14:textId="77777777" w:rsidTr="00B70681">
        <w:tc>
          <w:tcPr>
            <w:tcW w:w="4338" w:type="dxa"/>
            <w:vAlign w:val="bottom"/>
          </w:tcPr>
          <w:p w14:paraId="0763A6FD" w14:textId="0623858B"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Contact Title</w:t>
            </w:r>
          </w:p>
        </w:tc>
        <w:tc>
          <w:tcPr>
            <w:tcW w:w="4292" w:type="dxa"/>
            <w:tcBorders>
              <w:top w:val="single" w:sz="4" w:space="0" w:color="auto"/>
              <w:left w:val="nil"/>
              <w:bottom w:val="single" w:sz="4" w:space="0" w:color="auto"/>
              <w:right w:val="single" w:sz="4" w:space="0" w:color="auto"/>
            </w:tcBorders>
            <w:shd w:val="clear" w:color="auto" w:fill="FFFF99"/>
          </w:tcPr>
          <w:p w14:paraId="1509F2E2" w14:textId="2A66A537" w:rsidR="00E0458F" w:rsidRPr="00E0458F" w:rsidRDefault="00E0458F" w:rsidP="00E0458F">
            <w:pPr>
              <w:rPr>
                <w:rStyle w:val="normaltextrun"/>
                <w:rFonts w:ascii="Calibri" w:hAnsi="Calibri" w:cs="Calibri"/>
                <w:color w:val="000000"/>
              </w:rPr>
            </w:pPr>
            <w:r>
              <w:rPr>
                <w:rStyle w:val="normaltextrun"/>
                <w:rFonts w:ascii="Calibri" w:hAnsi="Calibri" w:cs="Calibri"/>
                <w:color w:val="000000"/>
              </w:rPr>
              <w:t>Senior Vice President</w:t>
            </w:r>
          </w:p>
        </w:tc>
      </w:tr>
      <w:tr w:rsidR="00E0458F" w:rsidRPr="00A2550B" w14:paraId="116C22A6" w14:textId="77777777" w:rsidTr="00B70681">
        <w:tc>
          <w:tcPr>
            <w:tcW w:w="4338" w:type="dxa"/>
            <w:vAlign w:val="bottom"/>
          </w:tcPr>
          <w:p w14:paraId="0D631EFD" w14:textId="77777777"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tcBorders>
              <w:top w:val="single" w:sz="4" w:space="0" w:color="auto"/>
              <w:left w:val="nil"/>
              <w:bottom w:val="single" w:sz="4" w:space="0" w:color="auto"/>
              <w:right w:val="single" w:sz="4" w:space="0" w:color="auto"/>
            </w:tcBorders>
            <w:shd w:val="clear" w:color="auto" w:fill="FFFF99"/>
          </w:tcPr>
          <w:p w14:paraId="2EA88111" w14:textId="0E6FD3B7" w:rsidR="00E0458F" w:rsidRPr="00E0458F" w:rsidRDefault="00E0458F" w:rsidP="00E0458F">
            <w:pPr>
              <w:rPr>
                <w:rStyle w:val="normaltextrun"/>
                <w:rFonts w:ascii="Calibri" w:hAnsi="Calibri" w:cs="Calibri"/>
                <w:color w:val="000000"/>
              </w:rPr>
            </w:pPr>
            <w:r w:rsidRPr="00E0458F">
              <w:rPr>
                <w:rStyle w:val="normaltextrun"/>
                <w:rFonts w:ascii="Calibri" w:hAnsi="Calibri" w:cs="Calibri"/>
                <w:color w:val="000000"/>
              </w:rPr>
              <w:t>260-257-1010</w:t>
            </w:r>
          </w:p>
        </w:tc>
      </w:tr>
      <w:tr w:rsidR="00E0458F" w:rsidRPr="00A2550B" w14:paraId="1D2A5329" w14:textId="77777777" w:rsidTr="00B70681">
        <w:tc>
          <w:tcPr>
            <w:tcW w:w="4338" w:type="dxa"/>
            <w:vAlign w:val="bottom"/>
          </w:tcPr>
          <w:p w14:paraId="7C79F9FE" w14:textId="77777777"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tcBorders>
              <w:top w:val="single" w:sz="4" w:space="0" w:color="auto"/>
              <w:left w:val="nil"/>
              <w:bottom w:val="single" w:sz="4" w:space="0" w:color="auto"/>
              <w:right w:val="single" w:sz="4" w:space="0" w:color="auto"/>
            </w:tcBorders>
            <w:shd w:val="clear" w:color="auto" w:fill="FFFF99"/>
          </w:tcPr>
          <w:p w14:paraId="6E786E3F" w14:textId="77777777" w:rsidR="00E0458F" w:rsidRPr="00E0458F" w:rsidRDefault="00E0458F" w:rsidP="00E0458F">
            <w:pPr>
              <w:rPr>
                <w:rStyle w:val="normaltextrun"/>
                <w:rFonts w:ascii="Calibri" w:hAnsi="Calibri" w:cs="Calibri"/>
                <w:color w:val="000000"/>
              </w:rPr>
            </w:pPr>
          </w:p>
        </w:tc>
      </w:tr>
      <w:tr w:rsidR="00E0458F" w:rsidRPr="00A2550B" w14:paraId="157B4B02" w14:textId="77777777" w:rsidTr="00B70681">
        <w:tc>
          <w:tcPr>
            <w:tcW w:w="4338" w:type="dxa"/>
            <w:vAlign w:val="bottom"/>
          </w:tcPr>
          <w:p w14:paraId="7BC51180" w14:textId="77777777"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Contact E-mail</w:t>
            </w:r>
          </w:p>
        </w:tc>
        <w:tc>
          <w:tcPr>
            <w:tcW w:w="4292" w:type="dxa"/>
            <w:tcBorders>
              <w:top w:val="single" w:sz="4" w:space="0" w:color="auto"/>
              <w:left w:val="nil"/>
              <w:bottom w:val="single" w:sz="4" w:space="0" w:color="auto"/>
              <w:right w:val="single" w:sz="4" w:space="0" w:color="auto"/>
            </w:tcBorders>
            <w:shd w:val="clear" w:color="auto" w:fill="FFFF99"/>
          </w:tcPr>
          <w:p w14:paraId="523D51E3" w14:textId="7319D5F0" w:rsidR="00E0458F" w:rsidRPr="00E0458F" w:rsidRDefault="00E0458F" w:rsidP="00E0458F">
            <w:pPr>
              <w:rPr>
                <w:rStyle w:val="normaltextrun"/>
                <w:rFonts w:ascii="Calibri" w:hAnsi="Calibri" w:cs="Calibri"/>
                <w:color w:val="000000"/>
              </w:rPr>
            </w:pPr>
            <w:r w:rsidRPr="00E0458F">
              <w:rPr>
                <w:rStyle w:val="normaltextrun"/>
                <w:rFonts w:ascii="Calibri" w:hAnsi="Calibri" w:cs="Calibri"/>
                <w:color w:val="000000"/>
              </w:rPr>
              <w:t>sherry.grate@ambassador-enterprises.com</w:t>
            </w:r>
          </w:p>
        </w:tc>
      </w:tr>
      <w:tr w:rsidR="00E0458F" w:rsidRPr="00A2550B" w14:paraId="40836350" w14:textId="77777777" w:rsidTr="00B70681">
        <w:tc>
          <w:tcPr>
            <w:tcW w:w="4338" w:type="dxa"/>
            <w:tcBorders>
              <w:bottom w:val="single" w:sz="4" w:space="0" w:color="auto"/>
            </w:tcBorders>
            <w:vAlign w:val="bottom"/>
          </w:tcPr>
          <w:p w14:paraId="35F94187" w14:textId="77777777"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tcBorders>
              <w:top w:val="single" w:sz="4" w:space="0" w:color="auto"/>
              <w:left w:val="nil"/>
              <w:bottom w:val="single" w:sz="4" w:space="0" w:color="auto"/>
              <w:right w:val="single" w:sz="4" w:space="0" w:color="auto"/>
            </w:tcBorders>
            <w:shd w:val="clear" w:color="auto" w:fill="FFFF99"/>
          </w:tcPr>
          <w:p w14:paraId="36539B8E" w14:textId="41315CD0" w:rsidR="00E0458F" w:rsidRPr="00E0458F" w:rsidRDefault="00E0458F" w:rsidP="00E0458F">
            <w:pPr>
              <w:rPr>
                <w:rStyle w:val="normaltextrun"/>
                <w:rFonts w:ascii="Calibri" w:hAnsi="Calibri" w:cs="Calibri"/>
                <w:color w:val="000000"/>
              </w:rPr>
            </w:pPr>
            <w:r w:rsidRPr="00E0458F">
              <w:rPr>
                <w:rStyle w:val="normaltextrun"/>
                <w:rFonts w:ascii="Calibri" w:hAnsi="Calibri" w:cs="Calibri"/>
                <w:color w:val="000000"/>
              </w:rPr>
              <w:t>Private Equity Firm</w:t>
            </w:r>
          </w:p>
        </w:tc>
      </w:tr>
      <w:tr w:rsidR="00E0458F" w:rsidRPr="00A2550B" w14:paraId="4D3FC23F" w14:textId="77777777" w:rsidTr="00E53110">
        <w:tc>
          <w:tcPr>
            <w:tcW w:w="4338" w:type="dxa"/>
            <w:shd w:val="clear" w:color="auto" w:fill="B3B3B3"/>
            <w:vAlign w:val="bottom"/>
          </w:tcPr>
          <w:p w14:paraId="0B85CDE8" w14:textId="77777777" w:rsidR="00E0458F" w:rsidRPr="00A2550B" w:rsidRDefault="00E0458F" w:rsidP="00E0458F">
            <w:pPr>
              <w:rPr>
                <w:rFonts w:asciiTheme="minorHAnsi" w:hAnsiTheme="minorHAnsi" w:cstheme="minorHAnsi"/>
                <w:b/>
                <w:bCs/>
                <w:szCs w:val="24"/>
              </w:rPr>
            </w:pPr>
            <w:r w:rsidRPr="00A2550B">
              <w:rPr>
                <w:rFonts w:asciiTheme="minorHAnsi" w:hAnsiTheme="minorHAnsi" w:cstheme="minorHAnsi"/>
                <w:b/>
                <w:bCs/>
                <w:szCs w:val="24"/>
              </w:rPr>
              <w:t>Customer 3</w:t>
            </w:r>
          </w:p>
        </w:tc>
        <w:tc>
          <w:tcPr>
            <w:tcW w:w="4292" w:type="dxa"/>
            <w:tcBorders>
              <w:bottom w:val="single" w:sz="4" w:space="0" w:color="auto"/>
            </w:tcBorders>
            <w:shd w:val="clear" w:color="auto" w:fill="B3B3B3"/>
          </w:tcPr>
          <w:p w14:paraId="2738E897" w14:textId="77777777" w:rsidR="00E0458F" w:rsidRPr="00A2550B" w:rsidRDefault="00E0458F" w:rsidP="00E0458F">
            <w:pPr>
              <w:rPr>
                <w:rFonts w:asciiTheme="minorHAnsi" w:hAnsiTheme="minorHAnsi" w:cstheme="minorHAnsi"/>
                <w:szCs w:val="24"/>
              </w:rPr>
            </w:pPr>
          </w:p>
        </w:tc>
      </w:tr>
      <w:tr w:rsidR="00E0458F" w:rsidRPr="00A2550B" w14:paraId="657337DC" w14:textId="77777777" w:rsidTr="002D6518">
        <w:tc>
          <w:tcPr>
            <w:tcW w:w="4338" w:type="dxa"/>
            <w:vAlign w:val="bottom"/>
          </w:tcPr>
          <w:p w14:paraId="220BB91D" w14:textId="77777777" w:rsidR="00E0458F" w:rsidRPr="00A2550B" w:rsidRDefault="00E0458F" w:rsidP="00E0458F">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shd w:val="clear" w:color="auto" w:fill="FFFF99"/>
            <w:vAlign w:val="bottom"/>
          </w:tcPr>
          <w:p w14:paraId="36C9594A" w14:textId="41A53140" w:rsidR="00E0458F" w:rsidRPr="00A63BC9" w:rsidRDefault="002C7CAE" w:rsidP="00E0458F">
            <w:pPr>
              <w:rPr>
                <w:rStyle w:val="normaltextrun"/>
                <w:rFonts w:ascii="Calibri" w:hAnsi="Calibri" w:cs="Calibri"/>
                <w:color w:val="000000"/>
              </w:rPr>
            </w:pPr>
            <w:r w:rsidRPr="002C7CAE">
              <w:rPr>
                <w:rStyle w:val="normaltextrun"/>
                <w:rFonts w:ascii="Calibri" w:hAnsi="Calibri" w:cs="Calibri"/>
                <w:color w:val="000000"/>
              </w:rPr>
              <w:t>Indiana University Indianapolis, International Affairs</w:t>
            </w:r>
          </w:p>
        </w:tc>
      </w:tr>
      <w:tr w:rsidR="003B2633" w:rsidRPr="00A2550B" w14:paraId="213B2AB4" w14:textId="77777777" w:rsidTr="00E53110">
        <w:tc>
          <w:tcPr>
            <w:tcW w:w="4338" w:type="dxa"/>
            <w:vAlign w:val="bottom"/>
          </w:tcPr>
          <w:p w14:paraId="1032D3CF" w14:textId="77777777" w:rsidR="003B2633" w:rsidRPr="00A2550B" w:rsidRDefault="003B2633" w:rsidP="003B2633">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shd w:val="clear" w:color="auto" w:fill="FFFF99"/>
          </w:tcPr>
          <w:p w14:paraId="08F45A5C" w14:textId="7FDBDA88" w:rsidR="003B2633" w:rsidRPr="00A63BC9" w:rsidRDefault="003B2633" w:rsidP="003B2633">
            <w:pPr>
              <w:rPr>
                <w:rStyle w:val="normaltextrun"/>
                <w:rFonts w:ascii="Calibri" w:hAnsi="Calibri" w:cs="Calibri"/>
                <w:color w:val="000000"/>
              </w:rPr>
            </w:pPr>
            <w:r w:rsidRPr="00A63BC9">
              <w:rPr>
                <w:rStyle w:val="normaltextrun"/>
                <w:rFonts w:ascii="Calibri" w:hAnsi="Calibri" w:cs="Calibri"/>
                <w:color w:val="000000"/>
              </w:rPr>
              <w:t xml:space="preserve">Education and Social Work building, Rm. 2126 902 W. New York St. </w:t>
            </w:r>
          </w:p>
        </w:tc>
      </w:tr>
      <w:tr w:rsidR="003B2633" w:rsidRPr="00A2550B" w14:paraId="6FD94ACF" w14:textId="77777777" w:rsidTr="00E53110">
        <w:tc>
          <w:tcPr>
            <w:tcW w:w="4338" w:type="dxa"/>
            <w:vAlign w:val="bottom"/>
          </w:tcPr>
          <w:p w14:paraId="75E20677" w14:textId="77777777" w:rsidR="003B2633" w:rsidRPr="00A2550B" w:rsidRDefault="003B2633" w:rsidP="003B2633">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shd w:val="clear" w:color="auto" w:fill="FFFF99"/>
          </w:tcPr>
          <w:p w14:paraId="7B1F0394" w14:textId="0B897D61" w:rsidR="003B2633" w:rsidRPr="00A63BC9" w:rsidRDefault="003B2633" w:rsidP="003B2633">
            <w:pPr>
              <w:rPr>
                <w:rStyle w:val="normaltextrun"/>
                <w:rFonts w:ascii="Calibri" w:hAnsi="Calibri" w:cs="Calibri"/>
                <w:color w:val="000000"/>
              </w:rPr>
            </w:pPr>
            <w:r w:rsidRPr="00A63BC9">
              <w:rPr>
                <w:rStyle w:val="normaltextrun"/>
                <w:rFonts w:ascii="Calibri" w:hAnsi="Calibri" w:cs="Calibri"/>
                <w:color w:val="000000"/>
              </w:rPr>
              <w:t xml:space="preserve">Indianapolis, IN 46202  </w:t>
            </w:r>
          </w:p>
        </w:tc>
      </w:tr>
      <w:tr w:rsidR="003B2633" w:rsidRPr="00A2550B" w14:paraId="2B3F0E19" w14:textId="77777777" w:rsidTr="00E53110">
        <w:tc>
          <w:tcPr>
            <w:tcW w:w="4338" w:type="dxa"/>
            <w:vAlign w:val="bottom"/>
          </w:tcPr>
          <w:p w14:paraId="7E17E5C0" w14:textId="77777777" w:rsidR="003B2633" w:rsidRPr="00A2550B" w:rsidRDefault="003B2633" w:rsidP="003B2633">
            <w:pPr>
              <w:rPr>
                <w:rFonts w:asciiTheme="minorHAnsi" w:hAnsiTheme="minorHAnsi" w:cstheme="minorHAnsi"/>
                <w:szCs w:val="24"/>
              </w:rPr>
            </w:pPr>
            <w:r w:rsidRPr="00A2550B">
              <w:rPr>
                <w:rFonts w:asciiTheme="minorHAnsi" w:hAnsiTheme="minorHAnsi" w:cstheme="minorHAnsi"/>
                <w:szCs w:val="24"/>
              </w:rPr>
              <w:t>Company Website Address</w:t>
            </w:r>
          </w:p>
        </w:tc>
        <w:tc>
          <w:tcPr>
            <w:tcW w:w="4292" w:type="dxa"/>
            <w:shd w:val="clear" w:color="auto" w:fill="FFFF99"/>
          </w:tcPr>
          <w:p w14:paraId="75D5EF02" w14:textId="51AC84BB" w:rsidR="003B2633" w:rsidRPr="00A63BC9" w:rsidRDefault="00930415" w:rsidP="003B2633">
            <w:pPr>
              <w:rPr>
                <w:rStyle w:val="normaltextrun"/>
                <w:rFonts w:ascii="Calibri" w:hAnsi="Calibri" w:cs="Calibri"/>
                <w:color w:val="000000"/>
              </w:rPr>
            </w:pPr>
            <w:r w:rsidRPr="00A63BC9">
              <w:rPr>
                <w:rStyle w:val="normaltextrun"/>
                <w:rFonts w:ascii="Calibri" w:hAnsi="Calibri" w:cs="Calibri"/>
                <w:color w:val="000000"/>
              </w:rPr>
              <w:t>https://international.indianapolis.iu.edu/index.html</w:t>
            </w:r>
          </w:p>
        </w:tc>
      </w:tr>
      <w:tr w:rsidR="003B2633" w:rsidRPr="00A2550B" w14:paraId="55D8A4E1" w14:textId="77777777" w:rsidTr="00E53110">
        <w:tc>
          <w:tcPr>
            <w:tcW w:w="4338" w:type="dxa"/>
            <w:vAlign w:val="bottom"/>
          </w:tcPr>
          <w:p w14:paraId="2D0C9DFD" w14:textId="77777777" w:rsidR="003B2633" w:rsidRPr="00A2550B" w:rsidRDefault="003B2633" w:rsidP="003B2633">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shd w:val="clear" w:color="auto" w:fill="FFFF99"/>
          </w:tcPr>
          <w:p w14:paraId="5815C2A2" w14:textId="0F86C7D6" w:rsidR="003B2633" w:rsidRPr="00A63BC9" w:rsidRDefault="003B2633" w:rsidP="003B2633">
            <w:pPr>
              <w:rPr>
                <w:rStyle w:val="normaltextrun"/>
                <w:rFonts w:ascii="Calibri" w:hAnsi="Calibri" w:cs="Calibri"/>
                <w:color w:val="000000"/>
              </w:rPr>
            </w:pPr>
            <w:r w:rsidRPr="00A63BC9">
              <w:rPr>
                <w:rStyle w:val="normaltextrun"/>
                <w:rFonts w:ascii="Calibri" w:hAnsi="Calibri" w:cs="Calibri"/>
                <w:color w:val="000000"/>
              </w:rPr>
              <w:t>Hilary Kahn | Lauren Jobe</w:t>
            </w:r>
          </w:p>
        </w:tc>
      </w:tr>
      <w:tr w:rsidR="003B2633" w:rsidRPr="00A2550B" w14:paraId="0B98643C" w14:textId="77777777" w:rsidTr="00E53110">
        <w:tc>
          <w:tcPr>
            <w:tcW w:w="4338" w:type="dxa"/>
            <w:vAlign w:val="bottom"/>
          </w:tcPr>
          <w:p w14:paraId="47D6706C" w14:textId="1BC6E7BC" w:rsidR="003B2633" w:rsidRPr="00A2550B" w:rsidRDefault="003B2633" w:rsidP="003B2633">
            <w:pPr>
              <w:rPr>
                <w:rFonts w:asciiTheme="minorHAnsi" w:hAnsiTheme="minorHAnsi" w:cstheme="minorHAnsi"/>
                <w:szCs w:val="24"/>
              </w:rPr>
            </w:pPr>
            <w:r w:rsidRPr="00A2550B">
              <w:rPr>
                <w:rFonts w:asciiTheme="minorHAnsi" w:hAnsiTheme="minorHAnsi" w:cstheme="minorHAnsi"/>
                <w:szCs w:val="24"/>
              </w:rPr>
              <w:t>Contact Title</w:t>
            </w:r>
          </w:p>
        </w:tc>
        <w:tc>
          <w:tcPr>
            <w:tcW w:w="4292" w:type="dxa"/>
            <w:shd w:val="clear" w:color="auto" w:fill="FFFF99"/>
          </w:tcPr>
          <w:p w14:paraId="08A3B661" w14:textId="7C5B1E35" w:rsidR="003B2633" w:rsidRPr="00A63BC9" w:rsidRDefault="003B2633" w:rsidP="003B2633">
            <w:pPr>
              <w:rPr>
                <w:rStyle w:val="normaltextrun"/>
                <w:rFonts w:ascii="Calibri" w:hAnsi="Calibri" w:cs="Calibri"/>
                <w:color w:val="000000"/>
              </w:rPr>
            </w:pPr>
            <w:r w:rsidRPr="00A63BC9">
              <w:rPr>
                <w:rStyle w:val="normaltextrun"/>
                <w:rFonts w:ascii="Calibri" w:hAnsi="Calibri" w:cs="Calibri"/>
                <w:color w:val="000000"/>
              </w:rPr>
              <w:t>Principle Investigator, Vice Chancellor | Grant Coordinator</w:t>
            </w:r>
          </w:p>
        </w:tc>
      </w:tr>
      <w:tr w:rsidR="003B2633" w:rsidRPr="00A2550B" w14:paraId="48B024B5" w14:textId="77777777" w:rsidTr="00E53110">
        <w:tc>
          <w:tcPr>
            <w:tcW w:w="4338" w:type="dxa"/>
            <w:vAlign w:val="bottom"/>
          </w:tcPr>
          <w:p w14:paraId="733A3862" w14:textId="77777777" w:rsidR="003B2633" w:rsidRPr="00A2550B" w:rsidRDefault="003B2633" w:rsidP="003B2633">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shd w:val="clear" w:color="auto" w:fill="FFFF99"/>
          </w:tcPr>
          <w:p w14:paraId="1B91EFFB" w14:textId="40445F91" w:rsidR="003B2633" w:rsidRPr="00A63BC9" w:rsidRDefault="00F36A1A" w:rsidP="003B2633">
            <w:pPr>
              <w:rPr>
                <w:rStyle w:val="normaltextrun"/>
                <w:rFonts w:ascii="Calibri" w:hAnsi="Calibri" w:cs="Calibri"/>
                <w:color w:val="000000"/>
              </w:rPr>
            </w:pPr>
            <w:r w:rsidRPr="00A63BC9">
              <w:rPr>
                <w:rStyle w:val="normaltextrun"/>
                <w:rFonts w:ascii="Calibri" w:hAnsi="Calibri" w:cs="Calibri"/>
                <w:color w:val="000000"/>
              </w:rPr>
              <w:t>317-274-7000</w:t>
            </w:r>
          </w:p>
        </w:tc>
      </w:tr>
      <w:tr w:rsidR="003B2633" w:rsidRPr="00A2550B" w14:paraId="5BF158BD" w14:textId="77777777" w:rsidTr="00E53110">
        <w:tc>
          <w:tcPr>
            <w:tcW w:w="4338" w:type="dxa"/>
            <w:vAlign w:val="bottom"/>
          </w:tcPr>
          <w:p w14:paraId="287D1A42" w14:textId="77777777" w:rsidR="003B2633" w:rsidRPr="00A2550B" w:rsidRDefault="003B2633" w:rsidP="003B2633">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shd w:val="clear" w:color="auto" w:fill="FFFF99"/>
          </w:tcPr>
          <w:p w14:paraId="62651C08" w14:textId="4BCFD99B" w:rsidR="003B2633" w:rsidRPr="00A63BC9" w:rsidRDefault="003B2633" w:rsidP="003B2633">
            <w:pPr>
              <w:rPr>
                <w:rStyle w:val="normaltextrun"/>
                <w:rFonts w:ascii="Calibri" w:hAnsi="Calibri" w:cs="Calibri"/>
                <w:color w:val="000000"/>
              </w:rPr>
            </w:pPr>
          </w:p>
        </w:tc>
      </w:tr>
      <w:tr w:rsidR="003B2633" w:rsidRPr="00A2550B" w14:paraId="4FEF55E9" w14:textId="77777777" w:rsidTr="00E53110">
        <w:tc>
          <w:tcPr>
            <w:tcW w:w="4338" w:type="dxa"/>
            <w:vAlign w:val="bottom"/>
          </w:tcPr>
          <w:p w14:paraId="54E631D6" w14:textId="77777777" w:rsidR="003B2633" w:rsidRPr="00A2550B" w:rsidRDefault="003B2633" w:rsidP="003B2633">
            <w:pPr>
              <w:rPr>
                <w:rFonts w:asciiTheme="minorHAnsi" w:hAnsiTheme="minorHAnsi" w:cstheme="minorHAnsi"/>
                <w:szCs w:val="24"/>
              </w:rPr>
            </w:pPr>
            <w:r w:rsidRPr="00A2550B">
              <w:rPr>
                <w:rFonts w:asciiTheme="minorHAnsi" w:hAnsiTheme="minorHAnsi" w:cstheme="minorHAnsi"/>
                <w:szCs w:val="24"/>
              </w:rPr>
              <w:t>Contact E-mail</w:t>
            </w:r>
          </w:p>
        </w:tc>
        <w:tc>
          <w:tcPr>
            <w:tcW w:w="4292" w:type="dxa"/>
            <w:shd w:val="clear" w:color="auto" w:fill="FFFF99"/>
          </w:tcPr>
          <w:p w14:paraId="1E12BD27" w14:textId="56D6B9A8" w:rsidR="003B2633" w:rsidRPr="00A63BC9" w:rsidRDefault="00F85788" w:rsidP="003B2633">
            <w:pPr>
              <w:rPr>
                <w:rStyle w:val="normaltextrun"/>
                <w:rFonts w:ascii="Calibri" w:hAnsi="Calibri" w:cs="Calibri"/>
                <w:color w:val="000000"/>
              </w:rPr>
            </w:pPr>
            <w:r w:rsidRPr="00F85788">
              <w:rPr>
                <w:rStyle w:val="normaltextrun"/>
                <w:rFonts w:ascii="Calibri" w:hAnsi="Calibri" w:cs="Calibri"/>
                <w:color w:val="000000"/>
              </w:rPr>
              <w:t>hkahn@iu.edu</w:t>
            </w:r>
          </w:p>
        </w:tc>
      </w:tr>
      <w:tr w:rsidR="003B2633" w:rsidRPr="00A2550B" w14:paraId="1F5444DA" w14:textId="77777777" w:rsidTr="00E53110">
        <w:tc>
          <w:tcPr>
            <w:tcW w:w="4338" w:type="dxa"/>
            <w:vAlign w:val="bottom"/>
          </w:tcPr>
          <w:p w14:paraId="2BBFB632" w14:textId="77777777" w:rsidR="003B2633" w:rsidRPr="00A2550B" w:rsidRDefault="003B2633" w:rsidP="003B2633">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shd w:val="clear" w:color="auto" w:fill="FFFF99"/>
          </w:tcPr>
          <w:p w14:paraId="74BD5AE0" w14:textId="6673A7D5" w:rsidR="003B2633" w:rsidRPr="00A63BC9" w:rsidRDefault="00A63BC9" w:rsidP="003B2633">
            <w:pPr>
              <w:rPr>
                <w:rStyle w:val="normaltextrun"/>
                <w:rFonts w:ascii="Calibri" w:hAnsi="Calibri" w:cs="Calibri"/>
                <w:color w:val="000000"/>
              </w:rPr>
            </w:pPr>
            <w:r w:rsidRPr="00A63BC9">
              <w:rPr>
                <w:rStyle w:val="normaltextrun"/>
                <w:rFonts w:ascii="Calibri" w:hAnsi="Calibri" w:cs="Calibri"/>
                <w:color w:val="000000"/>
              </w:rPr>
              <w:t>Higher Education</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477A5E94"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 xml:space="preserve">contact information may be </w:t>
      </w:r>
      <w:r w:rsidR="0009502C" w:rsidRPr="00A2550B">
        <w:rPr>
          <w:rFonts w:asciiTheme="minorHAnsi" w:hAnsiTheme="minorHAnsi" w:cstheme="minorHAnsi"/>
          <w:szCs w:val="24"/>
        </w:rPr>
        <w:lastRenderedPageBreak/>
        <w:t>found in Section 1.18 of the RFP. This process must be concluded prior to contract negotiations with the State. It is the successful Respondent’s responsibility to complete the required registration with the Secretary of State. Please indicate the status of registration, if applicable</w:t>
      </w:r>
      <w:r w:rsidR="00BC7443" w:rsidRPr="00A2550B">
        <w:rPr>
          <w:rFonts w:asciiTheme="minorHAnsi" w:hAnsiTheme="minorHAnsi" w:cstheme="minorHAnsi"/>
          <w:szCs w:val="24"/>
        </w:rPr>
        <w:t xml:space="preserve">. </w:t>
      </w:r>
      <w:r w:rsidR="0009502C" w:rsidRPr="00A2550B">
        <w:rPr>
          <w:rFonts w:asciiTheme="minorHAnsi" w:hAnsiTheme="minorHAnsi" w:cstheme="minorHAnsi"/>
          <w:szCs w:val="24"/>
        </w:rPr>
        <w:t>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971FAC" w14:paraId="6DEE7A35" w14:textId="77777777" w:rsidTr="0E719950">
        <w:tc>
          <w:tcPr>
            <w:tcW w:w="8856" w:type="dxa"/>
            <w:shd w:val="clear" w:color="auto" w:fill="FFFF99"/>
          </w:tcPr>
          <w:p w14:paraId="2961B338" w14:textId="77777777" w:rsidR="001F5228" w:rsidRDefault="001F5228" w:rsidP="0E719950">
            <w:pPr>
              <w:rPr>
                <w:rFonts w:asciiTheme="minorHAnsi" w:hAnsiTheme="minorHAnsi" w:cstheme="minorHAnsi"/>
                <w:szCs w:val="24"/>
              </w:rPr>
            </w:pPr>
          </w:p>
          <w:p w14:paraId="2D0C89B1" w14:textId="77777777" w:rsidR="0009502C" w:rsidRDefault="012CC425" w:rsidP="0E719950">
            <w:pPr>
              <w:rPr>
                <w:rFonts w:asciiTheme="minorHAnsi" w:hAnsiTheme="minorHAnsi" w:cstheme="minorHAnsi"/>
                <w:szCs w:val="24"/>
              </w:rPr>
            </w:pPr>
            <w:r w:rsidRPr="00EB2FA1">
              <w:rPr>
                <w:rFonts w:asciiTheme="minorHAnsi" w:hAnsiTheme="minorHAnsi" w:cstheme="minorHAnsi"/>
                <w:szCs w:val="24"/>
              </w:rPr>
              <w:t>TPMA is currently registered with the secretary of state.</w:t>
            </w:r>
            <w:r w:rsidR="001D46E7" w:rsidRPr="00EB2FA1">
              <w:rPr>
                <w:rFonts w:asciiTheme="minorHAnsi" w:hAnsiTheme="minorHAnsi" w:cstheme="minorHAnsi"/>
                <w:szCs w:val="24"/>
              </w:rPr>
              <w:t xml:space="preserve"> </w:t>
            </w:r>
            <w:r w:rsidR="00EB2FA1" w:rsidRPr="00EB2FA1">
              <w:rPr>
                <w:rFonts w:asciiTheme="minorHAnsi" w:hAnsiTheme="minorHAnsi" w:cstheme="minorHAnsi"/>
                <w:szCs w:val="24"/>
              </w:rPr>
              <w:t xml:space="preserve">Our business identification number is </w:t>
            </w:r>
            <w:r w:rsidR="00EB2FA1" w:rsidRPr="00EB2FA1">
              <w:rPr>
                <w:rFonts w:asciiTheme="minorHAnsi" w:hAnsiTheme="minorHAnsi" w:cstheme="minorHAnsi"/>
                <w:b/>
                <w:bCs/>
                <w:szCs w:val="24"/>
              </w:rPr>
              <w:t xml:space="preserve">2002011500043. </w:t>
            </w:r>
            <w:r w:rsidR="00303C47" w:rsidRPr="00EB2FA1">
              <w:rPr>
                <w:rFonts w:asciiTheme="minorHAnsi" w:hAnsiTheme="minorHAnsi" w:cstheme="minorHAnsi"/>
                <w:szCs w:val="24"/>
              </w:rPr>
              <w:t xml:space="preserve">In addition, we are </w:t>
            </w:r>
            <w:r w:rsidR="00971FAC" w:rsidRPr="00EB2FA1">
              <w:rPr>
                <w:rFonts w:asciiTheme="minorHAnsi" w:hAnsiTheme="minorHAnsi" w:cstheme="minorHAnsi"/>
                <w:szCs w:val="24"/>
              </w:rPr>
              <w:t xml:space="preserve">a designated “Buy Indiana” business. Our certification number is </w:t>
            </w:r>
            <w:r w:rsidR="00971FAC" w:rsidRPr="00CE1C04">
              <w:rPr>
                <w:rFonts w:asciiTheme="minorHAnsi" w:hAnsiTheme="minorHAnsi" w:cstheme="minorHAnsi"/>
                <w:b/>
                <w:bCs/>
                <w:szCs w:val="24"/>
              </w:rPr>
              <w:t>6134</w:t>
            </w:r>
            <w:r w:rsidR="00971FAC" w:rsidRPr="00EB2FA1">
              <w:rPr>
                <w:rFonts w:asciiTheme="minorHAnsi" w:hAnsiTheme="minorHAnsi" w:cstheme="minorHAnsi"/>
                <w:szCs w:val="24"/>
              </w:rPr>
              <w:t xml:space="preserve"> and our valid dates are 2/7/2024-2/7/2029</w:t>
            </w:r>
            <w:r w:rsidR="001F5228">
              <w:rPr>
                <w:rFonts w:asciiTheme="minorHAnsi" w:hAnsiTheme="minorHAnsi" w:cstheme="minorHAnsi"/>
                <w:szCs w:val="24"/>
              </w:rPr>
              <w:t>.</w:t>
            </w:r>
          </w:p>
          <w:p w14:paraId="2884138B" w14:textId="2425336D" w:rsidR="001F5228" w:rsidRPr="00EB2FA1" w:rsidRDefault="001F5228" w:rsidP="0E719950">
            <w:pPr>
              <w:rPr>
                <w:rFonts w:asciiTheme="minorHAnsi" w:hAnsiTheme="minorHAnsi" w:cstheme="minorHAnsi"/>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22"/>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22"/>
        </w:numPr>
        <w:contextualSpacing w:val="0"/>
        <w:jc w:val="both"/>
        <w:rPr>
          <w:rFonts w:asciiTheme="minorHAnsi" w:hAnsiTheme="minorHAnsi" w:cstheme="minorHAnsi"/>
          <w:b/>
          <w:vanish/>
          <w:szCs w:val="24"/>
        </w:rPr>
      </w:pPr>
    </w:p>
    <w:p w14:paraId="5479ECF4" w14:textId="44DCA866" w:rsidR="005A0FC8" w:rsidRPr="00757BBC" w:rsidRDefault="0009502C" w:rsidP="00C76E4B">
      <w:pPr>
        <w:widowControl/>
        <w:numPr>
          <w:ilvl w:val="2"/>
          <w:numId w:val="22"/>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w:t>
      </w:r>
      <w:r w:rsidR="00BC7443" w:rsidRPr="00757BBC">
        <w:rPr>
          <w:rFonts w:asciiTheme="minorHAnsi" w:hAnsiTheme="minorHAnsi" w:cstheme="minorHAnsi"/>
          <w:szCs w:val="24"/>
        </w:rPr>
        <w:t xml:space="preserve">. </w:t>
      </w:r>
      <w:r w:rsidRPr="00757BBC">
        <w:rPr>
          <w:rFonts w:asciiTheme="minorHAnsi" w:hAnsiTheme="minorHAnsi" w:cstheme="minorHAnsi"/>
          <w:szCs w:val="24"/>
        </w:rPr>
        <w:t>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20D2FC36" w14:textId="77777777" w:rsidR="001F5228" w:rsidRDefault="001F5228" w:rsidP="0009502C">
            <w:pPr>
              <w:rPr>
                <w:rFonts w:asciiTheme="minorHAnsi" w:hAnsiTheme="minorHAnsi" w:cstheme="minorHAnsi"/>
                <w:szCs w:val="24"/>
              </w:rPr>
            </w:pPr>
          </w:p>
          <w:p w14:paraId="7BD10B48" w14:textId="3AC1331F" w:rsidR="004703E9" w:rsidRDefault="00CA2E8E" w:rsidP="0009502C">
            <w:pPr>
              <w:rPr>
                <w:rFonts w:asciiTheme="minorHAnsi" w:hAnsiTheme="minorHAnsi" w:cstheme="minorHAnsi"/>
                <w:szCs w:val="24"/>
              </w:rPr>
            </w:pPr>
            <w:r w:rsidRPr="00CA2E8E">
              <w:rPr>
                <w:rFonts w:asciiTheme="minorHAnsi" w:hAnsiTheme="minorHAnsi" w:cstheme="minorHAnsi"/>
                <w:szCs w:val="24"/>
              </w:rPr>
              <w:t xml:space="preserve">The </w:t>
            </w:r>
            <w:r>
              <w:rPr>
                <w:rFonts w:asciiTheme="minorHAnsi" w:hAnsiTheme="minorHAnsi" w:cstheme="minorHAnsi"/>
                <w:szCs w:val="24"/>
              </w:rPr>
              <w:t>Executive Summary/</w:t>
            </w:r>
            <w:r w:rsidRPr="00CA2E8E">
              <w:rPr>
                <w:rFonts w:asciiTheme="minorHAnsi" w:hAnsiTheme="minorHAnsi" w:cstheme="minorHAnsi"/>
                <w:szCs w:val="24"/>
              </w:rPr>
              <w:t xml:space="preserve">Transmittal Letter is signed by Thomas P. Miller, </w:t>
            </w:r>
            <w:r>
              <w:rPr>
                <w:rFonts w:asciiTheme="minorHAnsi" w:hAnsiTheme="minorHAnsi" w:cstheme="minorHAnsi"/>
                <w:szCs w:val="24"/>
              </w:rPr>
              <w:t>Founder and Chairperson of the Board</w:t>
            </w:r>
            <w:r w:rsidR="00BB76C2">
              <w:rPr>
                <w:rFonts w:asciiTheme="minorHAnsi" w:hAnsiTheme="minorHAnsi" w:cstheme="minorHAnsi"/>
                <w:szCs w:val="24"/>
              </w:rPr>
              <w:t xml:space="preserve"> of Thomas P. Miller &amp; Associates,</w:t>
            </w:r>
            <w:r w:rsidRPr="00CA2E8E">
              <w:rPr>
                <w:rFonts w:asciiTheme="minorHAnsi" w:hAnsiTheme="minorHAnsi" w:cstheme="minorHAnsi"/>
                <w:szCs w:val="24"/>
              </w:rPr>
              <w:t xml:space="preserve"> LLC. </w:t>
            </w:r>
          </w:p>
          <w:p w14:paraId="38528A54" w14:textId="77777777" w:rsidR="004703E9" w:rsidRDefault="004703E9" w:rsidP="0009502C">
            <w:pPr>
              <w:rPr>
                <w:rFonts w:asciiTheme="minorHAnsi" w:hAnsiTheme="minorHAnsi" w:cstheme="minorHAnsi"/>
                <w:szCs w:val="24"/>
              </w:rPr>
            </w:pPr>
          </w:p>
          <w:p w14:paraId="1A1CEFB9" w14:textId="77777777" w:rsidR="0009502C" w:rsidRDefault="00B0793E" w:rsidP="0009502C">
            <w:pPr>
              <w:rPr>
                <w:rFonts w:asciiTheme="minorHAnsi" w:hAnsiTheme="minorHAnsi" w:cstheme="minorHAnsi"/>
                <w:szCs w:val="24"/>
              </w:rPr>
            </w:pPr>
            <w:r>
              <w:rPr>
                <w:rFonts w:asciiTheme="minorHAnsi" w:hAnsiTheme="minorHAnsi" w:cstheme="minorHAnsi"/>
                <w:szCs w:val="24"/>
              </w:rPr>
              <w:t>We have include</w:t>
            </w:r>
            <w:r w:rsidR="004D0610">
              <w:rPr>
                <w:rFonts w:asciiTheme="minorHAnsi" w:hAnsiTheme="minorHAnsi" w:cstheme="minorHAnsi"/>
                <w:szCs w:val="24"/>
              </w:rPr>
              <w:t>d</w:t>
            </w:r>
            <w:r>
              <w:rPr>
                <w:rFonts w:asciiTheme="minorHAnsi" w:hAnsiTheme="minorHAnsi" w:cstheme="minorHAnsi"/>
                <w:szCs w:val="24"/>
              </w:rPr>
              <w:t xml:space="preserve"> </w:t>
            </w:r>
            <w:r w:rsidR="00CA2E8E" w:rsidRPr="00CA2E8E">
              <w:rPr>
                <w:rFonts w:asciiTheme="minorHAnsi" w:hAnsiTheme="minorHAnsi" w:cstheme="minorHAnsi"/>
                <w:szCs w:val="24"/>
              </w:rPr>
              <w:t xml:space="preserve">A Sole Member/Manager Certification </w:t>
            </w:r>
            <w:r w:rsidR="005B7848">
              <w:rPr>
                <w:rFonts w:asciiTheme="minorHAnsi" w:hAnsiTheme="minorHAnsi" w:cstheme="minorHAnsi"/>
                <w:szCs w:val="24"/>
              </w:rPr>
              <w:t>and the TPMA LLC Operating agreement as attachments to this Business Proposal.</w:t>
            </w:r>
          </w:p>
          <w:p w14:paraId="64842847" w14:textId="1E3C3667" w:rsidR="001F5228" w:rsidRPr="00A2550B" w:rsidRDefault="001F5228"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22"/>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4287470"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w:t>
      </w:r>
      <w:r w:rsidR="00BC7443">
        <w:rPr>
          <w:rStyle w:val="normaltextrun"/>
          <w:rFonts w:ascii="Calibri" w:hAnsi="Calibri" w:cs="Calibri"/>
          <w:color w:val="000000"/>
        </w:rPr>
        <w:t xml:space="preserve">. </w:t>
      </w:r>
      <w:r>
        <w:rPr>
          <w:rStyle w:val="normaltextrun"/>
          <w:rFonts w:ascii="Calibri" w:hAnsi="Calibri" w:cs="Calibri"/>
          <w:color w:val="000000"/>
        </w:rPr>
        <w:t>List the businesses invited to discuss the opportunity for potential partnership.</w:t>
      </w:r>
      <w:r>
        <w:rPr>
          <w:rStyle w:val="eop"/>
          <w:rFonts w:ascii="Calibri" w:hAnsi="Calibri" w:cs="Calibri"/>
          <w:color w:val="000000"/>
        </w:rPr>
        <w:t> </w:t>
      </w:r>
    </w:p>
    <w:p w14:paraId="77244D2F" w14:textId="7A54C3D2"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w:t>
      </w:r>
      <w:r w:rsidR="00BC7443">
        <w:rPr>
          <w:rStyle w:val="normaltextrun"/>
          <w:rFonts w:ascii="Calibri" w:hAnsi="Calibri" w:cs="Calibri"/>
          <w:color w:val="000000"/>
        </w:rPr>
        <w:t xml:space="preserve">. </w:t>
      </w:r>
      <w:r>
        <w:rPr>
          <w:rStyle w:val="normaltextrun"/>
          <w:rFonts w:ascii="Calibri" w:hAnsi="Calibri" w:cs="Calibri"/>
          <w:color w:val="000000"/>
        </w:rPr>
        <w:t>Complete this for each category not proposed.</w:t>
      </w:r>
      <w:r>
        <w:rPr>
          <w:rStyle w:val="eop"/>
          <w:rFonts w:ascii="Calibri" w:hAnsi="Calibri" w:cs="Calibri"/>
          <w:color w:val="000000"/>
        </w:rPr>
        <w:t> </w:t>
      </w: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37198BD4" w:rsidR="001F5228" w:rsidRPr="00A2550B" w:rsidRDefault="00CF1A5E" w:rsidP="00600C15">
            <w:pPr>
              <w:pStyle w:val="pf0"/>
              <w:rPr>
                <w:rFonts w:asciiTheme="minorHAnsi" w:hAnsiTheme="minorHAnsi" w:cstheme="minorHAnsi"/>
              </w:rPr>
            </w:pPr>
            <w:r>
              <w:rPr>
                <w:rFonts w:asciiTheme="minorHAnsi" w:hAnsiTheme="minorHAnsi" w:cstheme="minorHAnsi"/>
              </w:rPr>
              <w:t>We have IVOSB participation, we also have a WBE</w:t>
            </w:r>
            <w:r w:rsidR="00125963">
              <w:rPr>
                <w:rFonts w:asciiTheme="minorHAnsi" w:hAnsiTheme="minorHAnsi" w:cstheme="minorHAnsi"/>
              </w:rPr>
              <w:t xml:space="preserve"> on our </w:t>
            </w:r>
            <w:r w:rsidR="00C93C23">
              <w:rPr>
                <w:rFonts w:asciiTheme="minorHAnsi" w:hAnsiTheme="minorHAnsi" w:cstheme="minorHAnsi"/>
              </w:rPr>
              <w:t>team,</w:t>
            </w:r>
            <w:r w:rsidR="00125963">
              <w:rPr>
                <w:rFonts w:asciiTheme="minorHAnsi" w:hAnsiTheme="minorHAnsi" w:cstheme="minorHAnsi"/>
              </w:rPr>
              <w:t xml:space="preserve"> </w:t>
            </w:r>
            <w:r w:rsidR="00BC2D0A">
              <w:rPr>
                <w:rFonts w:asciiTheme="minorHAnsi" w:hAnsiTheme="minorHAnsi" w:cstheme="minorHAnsi"/>
              </w:rPr>
              <w:t>and provided their supporting documentation as required by the RFP.</w:t>
            </w:r>
            <w:r w:rsidR="00560C43">
              <w:rPr>
                <w:rFonts w:asciiTheme="minorHAnsi" w:hAnsiTheme="minorHAnsi" w:cstheme="minorHAnsi"/>
              </w:rPr>
              <w:t xml:space="preserve"> W</w:t>
            </w:r>
            <w:r w:rsidR="00337F67" w:rsidRPr="00186201">
              <w:rPr>
                <w:rFonts w:asciiTheme="minorHAnsi" w:hAnsiTheme="minorHAnsi" w:cstheme="minorHAnsi"/>
              </w:rPr>
              <w:t>e invited three MBEs who listed relevant UNSPSC codes on the Supplier Diversity site</w:t>
            </w:r>
            <w:r w:rsidR="00600C15">
              <w:rPr>
                <w:rFonts w:asciiTheme="minorHAnsi" w:hAnsiTheme="minorHAnsi" w:cstheme="minorHAnsi"/>
              </w:rPr>
              <w:t xml:space="preserve">, </w:t>
            </w:r>
            <w:r w:rsidR="00337F67" w:rsidRPr="00186201">
              <w:rPr>
                <w:rFonts w:asciiTheme="minorHAnsi" w:hAnsiTheme="minorHAnsi" w:cstheme="minorHAnsi"/>
              </w:rPr>
              <w:t xml:space="preserve">that would be </w:t>
            </w:r>
            <w:r w:rsidR="00600C15">
              <w:rPr>
                <w:rFonts w:asciiTheme="minorHAnsi" w:hAnsiTheme="minorHAnsi" w:cstheme="minorHAnsi"/>
              </w:rPr>
              <w:t>valuable contributions to the scope of the project</w:t>
            </w:r>
            <w:r w:rsidR="00337F67" w:rsidRPr="00186201">
              <w:rPr>
                <w:rFonts w:asciiTheme="minorHAnsi" w:hAnsiTheme="minorHAnsi" w:cstheme="minorHAnsi"/>
              </w:rPr>
              <w:t xml:space="preserve"> and none of them responded to </w:t>
            </w:r>
            <w:r w:rsidR="00600C15">
              <w:rPr>
                <w:rFonts w:asciiTheme="minorHAnsi" w:hAnsiTheme="minorHAnsi" w:cstheme="minorHAnsi"/>
              </w:rPr>
              <w:t xml:space="preserve">our </w:t>
            </w:r>
            <w:r w:rsidR="00337F67" w:rsidRPr="00186201">
              <w:rPr>
                <w:rFonts w:asciiTheme="minorHAnsi" w:hAnsiTheme="minorHAnsi" w:cstheme="minorHAnsi"/>
              </w:rPr>
              <w:t xml:space="preserve">multiple outreach attempts. </w:t>
            </w:r>
          </w:p>
        </w:tc>
      </w:tr>
    </w:tbl>
    <w:p w14:paraId="5A9F80A6" w14:textId="77777777" w:rsidR="0009502C" w:rsidRPr="00A2550B" w:rsidRDefault="0009502C" w:rsidP="0009502C">
      <w:pPr>
        <w:rPr>
          <w:rFonts w:asciiTheme="minorHAnsi" w:hAnsiTheme="minorHAnsi" w:cstheme="minorHAnsi"/>
          <w:szCs w:val="24"/>
        </w:rPr>
      </w:pPr>
    </w:p>
    <w:p w14:paraId="7CA25224" w14:textId="5BE61407" w:rsidR="005A0FC8" w:rsidRPr="00251750" w:rsidRDefault="00FD5220" w:rsidP="00091153">
      <w:pPr>
        <w:widowControl/>
        <w:numPr>
          <w:ilvl w:val="2"/>
          <w:numId w:val="22"/>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3250C2E6" w:rsidR="00FD5220" w:rsidRPr="00A2550B" w:rsidRDefault="0051211B" w:rsidP="003E057A">
            <w:pPr>
              <w:rPr>
                <w:rFonts w:asciiTheme="minorHAnsi" w:hAnsiTheme="minorHAnsi" w:cstheme="minorHAnsi"/>
                <w:szCs w:val="24"/>
              </w:rPr>
            </w:pPr>
            <w:r>
              <w:rPr>
                <w:rFonts w:asciiTheme="minorHAnsi" w:hAnsiTheme="minorHAnsi" w:cstheme="minorHAnsi"/>
                <w:szCs w:val="24"/>
              </w:rPr>
              <w:t>N/A</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31760847" w:rsidR="003F442B" w:rsidRPr="00A2550B" w:rsidRDefault="0045070F" w:rsidP="0045070F">
      <w:pPr>
        <w:widowControl/>
        <w:numPr>
          <w:ilvl w:val="2"/>
          <w:numId w:val="22"/>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w:t>
      </w:r>
      <w:r w:rsidR="00BC7443" w:rsidRPr="00A2550B">
        <w:rPr>
          <w:rFonts w:asciiTheme="minorHAnsi" w:hAnsiTheme="minorHAnsi" w:cstheme="minorHAnsi"/>
          <w:szCs w:val="24"/>
        </w:rPr>
        <w:t xml:space="preserve">.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0"/>
        <w:gridCol w:w="4330"/>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32AC2257" w:rsidR="00FD5220" w:rsidRPr="00A2550B" w:rsidRDefault="00BA70A3" w:rsidP="00FD5220">
            <w:pPr>
              <w:rPr>
                <w:rFonts w:asciiTheme="minorHAnsi" w:hAnsiTheme="minorHAnsi" w:cstheme="minorHAnsi"/>
                <w:szCs w:val="24"/>
              </w:rPr>
            </w:pPr>
            <w:r>
              <w:rPr>
                <w:rFonts w:asciiTheme="minorHAnsi" w:hAnsiTheme="minorHAnsi" w:cstheme="minorHAnsi"/>
                <w:szCs w:val="24"/>
              </w:rPr>
              <w:t>Thomas P. Miller &amp; Associates, LLC</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1714A512" w:rsidR="00FD5220" w:rsidRPr="00A2550B" w:rsidRDefault="00BA70A3" w:rsidP="00FD5220">
            <w:pPr>
              <w:rPr>
                <w:rFonts w:asciiTheme="minorHAnsi" w:hAnsiTheme="minorHAnsi" w:cstheme="minorHAnsi"/>
                <w:szCs w:val="24"/>
              </w:rPr>
            </w:pPr>
            <w:r>
              <w:rPr>
                <w:rFonts w:asciiTheme="minorHAnsi" w:hAnsiTheme="minorHAnsi" w:cstheme="minorHAnsi"/>
                <w:szCs w:val="24"/>
              </w:rPr>
              <w:t xml:space="preserve">Maureen </w:t>
            </w:r>
            <w:r w:rsidR="00170A12">
              <w:rPr>
                <w:rFonts w:asciiTheme="minorHAnsi" w:hAnsiTheme="minorHAnsi" w:cstheme="minorHAnsi"/>
                <w:szCs w:val="24"/>
              </w:rPr>
              <w:t>Hoffma</w:t>
            </w:r>
            <w:r w:rsidR="003840AD">
              <w:rPr>
                <w:rFonts w:asciiTheme="minorHAnsi" w:hAnsiTheme="minorHAnsi" w:cstheme="minorHAnsi"/>
                <w:szCs w:val="24"/>
              </w:rPr>
              <w:t>n</w:t>
            </w:r>
            <w:r w:rsidR="00170A12">
              <w:rPr>
                <w:rFonts w:asciiTheme="minorHAnsi" w:hAnsiTheme="minorHAnsi" w:cstheme="minorHAnsi"/>
                <w:szCs w:val="24"/>
              </w:rPr>
              <w:t>n, PhD</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4B6DADE" w:rsidR="00FD5220" w:rsidRPr="00A2550B" w:rsidRDefault="00170A12" w:rsidP="00FD5220">
            <w:pPr>
              <w:rPr>
                <w:rFonts w:asciiTheme="minorHAnsi" w:hAnsiTheme="minorHAnsi" w:cstheme="minorHAnsi"/>
                <w:szCs w:val="24"/>
              </w:rPr>
            </w:pPr>
            <w:r>
              <w:rPr>
                <w:rFonts w:asciiTheme="minorHAnsi" w:hAnsiTheme="minorHAnsi" w:cstheme="minorHAnsi"/>
                <w:szCs w:val="24"/>
              </w:rPr>
              <w:t>Senior Consultant</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5C392386" w:rsidR="00FD5220" w:rsidRPr="00A2550B" w:rsidRDefault="00170A12" w:rsidP="00FD5220">
            <w:pPr>
              <w:rPr>
                <w:rFonts w:asciiTheme="minorHAnsi" w:hAnsiTheme="minorHAnsi" w:cstheme="minorHAnsi"/>
                <w:szCs w:val="24"/>
              </w:rPr>
            </w:pPr>
            <w:r>
              <w:rPr>
                <w:rFonts w:asciiTheme="minorHAnsi" w:hAnsiTheme="minorHAnsi" w:cstheme="minorHAnsi"/>
                <w:szCs w:val="24"/>
              </w:rPr>
              <w:t>MHoffma</w:t>
            </w:r>
            <w:r w:rsidR="003840AD">
              <w:rPr>
                <w:rFonts w:asciiTheme="minorHAnsi" w:hAnsiTheme="minorHAnsi" w:cstheme="minorHAnsi"/>
                <w:szCs w:val="24"/>
              </w:rPr>
              <w:t>n</w:t>
            </w:r>
            <w:r>
              <w:rPr>
                <w:rFonts w:asciiTheme="minorHAnsi" w:hAnsiTheme="minorHAnsi" w:cstheme="minorHAnsi"/>
                <w:szCs w:val="24"/>
              </w:rPr>
              <w:t>n@tpma-inc.com</w:t>
            </w: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053F84DF" w:rsidR="00FD5220" w:rsidRPr="00A2550B" w:rsidRDefault="008D43EC" w:rsidP="00FD5220">
            <w:pPr>
              <w:rPr>
                <w:rFonts w:asciiTheme="minorHAnsi" w:hAnsiTheme="minorHAnsi" w:cstheme="minorHAnsi"/>
                <w:szCs w:val="24"/>
              </w:rPr>
            </w:pPr>
            <w:r w:rsidRPr="008D43EC">
              <w:rPr>
                <w:rFonts w:asciiTheme="minorHAnsi" w:hAnsiTheme="minorHAnsi" w:cstheme="minorHAnsi"/>
                <w:szCs w:val="24"/>
              </w:rPr>
              <w:t>PO Box 881011, Indianapolis, IN 46208</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46F79F0C" w:rsidR="00FD5220" w:rsidRPr="00A2550B" w:rsidRDefault="00515D66" w:rsidP="00FD5220">
            <w:pPr>
              <w:rPr>
                <w:rFonts w:asciiTheme="minorHAnsi" w:hAnsiTheme="minorHAnsi" w:cstheme="minorHAnsi"/>
                <w:szCs w:val="24"/>
              </w:rPr>
            </w:pPr>
            <w:r w:rsidRPr="00515D66">
              <w:rPr>
                <w:rFonts w:asciiTheme="minorHAnsi" w:hAnsiTheme="minorHAnsi" w:cstheme="minorHAnsi"/>
                <w:szCs w:val="24"/>
              </w:rPr>
              <w:t>1250 Indiana Avenue, Indianapolis, IN 46202</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E7DA337" w:rsidR="00FD5220" w:rsidRPr="00A2550B" w:rsidRDefault="00281CC7" w:rsidP="00FD5220">
            <w:pPr>
              <w:rPr>
                <w:rFonts w:asciiTheme="minorHAnsi" w:hAnsiTheme="minorHAnsi" w:cstheme="minorHAnsi"/>
                <w:szCs w:val="24"/>
              </w:rPr>
            </w:pPr>
            <w:r w:rsidRPr="00281CC7">
              <w:rPr>
                <w:rFonts w:asciiTheme="minorHAnsi" w:hAnsiTheme="minorHAnsi" w:cstheme="minorHAnsi"/>
                <w:szCs w:val="24"/>
              </w:rPr>
              <w:t>317-894-5508</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3FFFECDD" w:rsidR="00FD5220" w:rsidRPr="00A2550B" w:rsidRDefault="00ED7723" w:rsidP="00FD5220">
            <w:pPr>
              <w:rPr>
                <w:rFonts w:asciiTheme="minorHAnsi" w:hAnsiTheme="minorHAnsi" w:cstheme="minorHAnsi"/>
                <w:szCs w:val="24"/>
              </w:rPr>
            </w:pPr>
            <w:r w:rsidRPr="00ED7723">
              <w:rPr>
                <w:rFonts w:asciiTheme="minorHAnsi" w:hAnsiTheme="minorHAnsi" w:cstheme="minorHAnsi"/>
                <w:szCs w:val="24"/>
              </w:rPr>
              <w:t>317-894-5370</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BF23E36" w:rsidR="00FD5220" w:rsidRPr="00A2550B" w:rsidRDefault="002F2F2D" w:rsidP="00FD5220">
            <w:pPr>
              <w:rPr>
                <w:rFonts w:asciiTheme="minorHAnsi" w:hAnsiTheme="minorHAnsi" w:cstheme="minorHAnsi"/>
                <w:szCs w:val="24"/>
              </w:rPr>
            </w:pPr>
            <w:r w:rsidRPr="002F2F2D">
              <w:rPr>
                <w:rFonts w:asciiTheme="minorHAnsi" w:hAnsiTheme="minorHAnsi" w:cstheme="minorHAnsi"/>
                <w:szCs w:val="24"/>
              </w:rPr>
              <w:t>https://www.tpma-inc.com/</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073FC46" w:rsidR="00FD5220" w:rsidRPr="00A2550B" w:rsidRDefault="005A3161" w:rsidP="00FD5220">
            <w:pPr>
              <w:rPr>
                <w:rFonts w:asciiTheme="minorHAnsi" w:hAnsiTheme="minorHAnsi" w:cstheme="minorHAnsi"/>
                <w:szCs w:val="24"/>
              </w:rPr>
            </w:pPr>
            <w:r w:rsidRPr="005A3161">
              <w:rPr>
                <w:rFonts w:asciiTheme="minorHAnsi" w:hAnsiTheme="minorHAnsi" w:cstheme="minorHAnsi"/>
                <w:szCs w:val="24"/>
              </w:rPr>
              <w:t>30-0025201</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64C62CD2" w:rsidR="00FD5220" w:rsidRPr="00A2550B" w:rsidRDefault="50E66834" w:rsidP="00FD5220">
            <w:pPr>
              <w:rPr>
                <w:rFonts w:asciiTheme="minorHAnsi" w:hAnsiTheme="minorHAnsi" w:cstheme="minorBidi"/>
              </w:rPr>
            </w:pPr>
            <w:r w:rsidRPr="75A71E29">
              <w:rPr>
                <w:rFonts w:asciiTheme="minorHAnsi" w:hAnsiTheme="minorHAnsi" w:cstheme="minorBidi"/>
              </w:rPr>
              <w:t>49</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3C33137B" w:rsidR="00FD5220" w:rsidRPr="00A2550B" w:rsidRDefault="00714690" w:rsidP="00FD5220">
            <w:pPr>
              <w:rPr>
                <w:rFonts w:asciiTheme="minorHAnsi" w:hAnsiTheme="minorHAnsi" w:cstheme="minorHAnsi"/>
                <w:szCs w:val="24"/>
              </w:rPr>
            </w:pPr>
            <w:r>
              <w:rPr>
                <w:rFonts w:asciiTheme="minorHAnsi" w:hAnsiTheme="minorHAnsi" w:cstheme="minorHAnsi"/>
                <w:szCs w:val="24"/>
              </w:rPr>
              <w:t>35</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14E3B81" w:rsidR="00FD5220" w:rsidRPr="00A2550B" w:rsidRDefault="001E453F"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30EF8F03" w:rsidR="00FD5220" w:rsidRPr="00A2550B" w:rsidRDefault="001E453F" w:rsidP="00FD5220">
            <w:pPr>
              <w:rPr>
                <w:rFonts w:asciiTheme="minorHAnsi" w:hAnsiTheme="minorHAnsi" w:cstheme="minorHAnsi"/>
                <w:szCs w:val="24"/>
              </w:rPr>
            </w:pPr>
            <w:r>
              <w:rPr>
                <w:rFonts w:asciiTheme="minorHAnsi" w:hAnsiTheme="minorHAnsi" w:cstheme="minorHAnsi"/>
                <w:szCs w:val="24"/>
              </w:rPr>
              <w:t>1989</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1AA489EE" w:rsidR="00FD5220" w:rsidRPr="00A2550B" w:rsidRDefault="00546832"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3E057A">
        <w:tc>
          <w:tcPr>
            <w:tcW w:w="4428" w:type="dxa"/>
            <w:vAlign w:val="bottom"/>
          </w:tcPr>
          <w:p w14:paraId="5F680E10" w14:textId="4860289C" w:rsidR="00FD5220" w:rsidRPr="00A2550B" w:rsidRDefault="00FD5220" w:rsidP="00FD5220">
            <w:pPr>
              <w:rPr>
                <w:rFonts w:asciiTheme="minorHAnsi" w:hAnsiTheme="minorHAnsi" w:cstheme="minorBidi"/>
              </w:rPr>
            </w:pPr>
            <w:r w:rsidRPr="474499D8">
              <w:rPr>
                <w:rFonts w:asciiTheme="minorHAnsi" w:hAnsiTheme="minorHAnsi" w:cstheme="minorBidi"/>
              </w:rPr>
              <w:t>Revenues ($MM, previous year)</w:t>
            </w:r>
          </w:p>
        </w:tc>
        <w:tc>
          <w:tcPr>
            <w:tcW w:w="4428" w:type="dxa"/>
            <w:shd w:val="clear" w:color="auto" w:fill="FFFF99"/>
          </w:tcPr>
          <w:p w14:paraId="35F0719A" w14:textId="351EB0A3" w:rsidR="00FD5220" w:rsidRPr="00A2550B" w:rsidRDefault="6470F702" w:rsidP="00FD5220">
            <w:pPr>
              <w:rPr>
                <w:rFonts w:asciiTheme="minorHAnsi" w:hAnsiTheme="minorHAnsi" w:cstheme="minorBidi"/>
              </w:rPr>
            </w:pPr>
            <w:r w:rsidRPr="2577DBCC">
              <w:rPr>
                <w:rFonts w:asciiTheme="minorHAnsi" w:hAnsiTheme="minorHAnsi" w:cstheme="minorBidi"/>
              </w:rPr>
              <w:t>$8.</w:t>
            </w:r>
            <w:r w:rsidRPr="53BF180F">
              <w:rPr>
                <w:rFonts w:asciiTheme="minorHAnsi" w:hAnsiTheme="minorHAnsi" w:cstheme="minorBidi"/>
              </w:rPr>
              <w:t>041MM</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2BAA3247" w:rsidR="00FD5220" w:rsidRPr="00A2550B" w:rsidRDefault="24FAA7A4" w:rsidP="00FD5220">
            <w:pPr>
              <w:rPr>
                <w:rFonts w:asciiTheme="minorHAnsi" w:hAnsiTheme="minorHAnsi" w:cstheme="minorBidi"/>
              </w:rPr>
            </w:pPr>
            <w:r w:rsidRPr="694A1134">
              <w:rPr>
                <w:rFonts w:asciiTheme="minorHAnsi" w:hAnsiTheme="minorHAnsi" w:cstheme="minorBidi"/>
              </w:rPr>
              <w:t>$6.</w:t>
            </w:r>
            <w:r w:rsidRPr="50FAC64E">
              <w:rPr>
                <w:rFonts w:asciiTheme="minorHAnsi" w:hAnsiTheme="minorHAnsi" w:cstheme="minorBidi"/>
              </w:rPr>
              <w:t>431MM</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5FD46F36" w:rsidR="00FD5220" w:rsidRPr="00A2550B" w:rsidRDefault="2F76D59B" w:rsidP="00FD5220">
            <w:pPr>
              <w:rPr>
                <w:rFonts w:asciiTheme="minorHAnsi" w:hAnsiTheme="minorHAnsi" w:cstheme="minorBidi"/>
              </w:rPr>
            </w:pPr>
            <w:r w:rsidRPr="200E114E">
              <w:rPr>
                <w:rFonts w:asciiTheme="minorHAnsi" w:hAnsiTheme="minorHAnsi" w:cstheme="minorBidi"/>
              </w:rPr>
              <w:t>40.73%</w:t>
            </w:r>
          </w:p>
        </w:tc>
      </w:tr>
    </w:tbl>
    <w:p w14:paraId="2880346A" w14:textId="77777777" w:rsidR="0045070F" w:rsidRPr="00A2550B" w:rsidRDefault="0045070F" w:rsidP="00FD5220">
      <w:pPr>
        <w:rPr>
          <w:rFonts w:asciiTheme="minorHAnsi" w:hAnsiTheme="minorHAnsi" w:cstheme="minorHAnsi"/>
          <w:b/>
          <w:szCs w:val="24"/>
        </w:rPr>
      </w:pPr>
    </w:p>
    <w:p w14:paraId="729160C6" w14:textId="116F5D9C" w:rsidR="0000708C" w:rsidRPr="00251750" w:rsidRDefault="0000708C" w:rsidP="00926C22">
      <w:pPr>
        <w:widowControl/>
        <w:numPr>
          <w:ilvl w:val="1"/>
          <w:numId w:val="27"/>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w:t>
      </w:r>
      <w:r w:rsidR="00BC7443" w:rsidRPr="00251750">
        <w:rPr>
          <w:rFonts w:asciiTheme="minorHAnsi" w:hAnsiTheme="minorHAnsi" w:cstheme="minorHAnsi"/>
        </w:rPr>
        <w:t xml:space="preserve">. </w:t>
      </w:r>
      <w:r w:rsidRPr="00251750">
        <w:rPr>
          <w:rFonts w:asciiTheme="minorHAnsi" w:hAnsiTheme="minorHAnsi" w:cstheme="minorHAnsi"/>
        </w:rPr>
        <w:t>If no, please provide an explanation of any alternative solution your company has to offer</w:t>
      </w:r>
      <w:r w:rsidR="00BC7443" w:rsidRPr="00251750">
        <w:rPr>
          <w:rFonts w:asciiTheme="minorHAnsi" w:hAnsiTheme="minorHAnsi" w:cstheme="minorHAnsi"/>
        </w:rPr>
        <w:t xml:space="preserve">. </w:t>
      </w:r>
      <w:r w:rsidRPr="00251750">
        <w:rPr>
          <w:rFonts w:asciiTheme="minorHAnsi" w:hAnsiTheme="minorHAnsi" w:cstheme="minorHAnsi"/>
        </w:rPr>
        <w:t>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598D0B70" w14:textId="77777777" w:rsidR="001F5228" w:rsidRDefault="001F5228" w:rsidP="00C8159F">
            <w:pPr>
              <w:rPr>
                <w:rFonts w:asciiTheme="minorHAnsi" w:hAnsiTheme="minorHAnsi" w:cstheme="minorHAnsi"/>
              </w:rPr>
            </w:pPr>
          </w:p>
          <w:p w14:paraId="666C5D86" w14:textId="3CF9E32D" w:rsidR="00C8159F" w:rsidRDefault="00D8644A" w:rsidP="00C8159F">
            <w:pPr>
              <w:rPr>
                <w:rFonts w:asciiTheme="minorHAnsi" w:hAnsiTheme="minorHAnsi" w:cstheme="minorHAnsi"/>
              </w:rPr>
            </w:pPr>
            <w:r>
              <w:rPr>
                <w:rFonts w:asciiTheme="minorHAnsi" w:hAnsiTheme="minorHAnsi" w:cstheme="minorHAnsi"/>
              </w:rPr>
              <w:t>TPMA does not have a formal disaster recovery plan</w:t>
            </w:r>
            <w:r w:rsidR="008332AC">
              <w:rPr>
                <w:rFonts w:asciiTheme="minorHAnsi" w:hAnsiTheme="minorHAnsi" w:cstheme="minorHAnsi"/>
              </w:rPr>
              <w:t xml:space="preserve">, </w:t>
            </w:r>
            <w:r w:rsidR="00C8159F" w:rsidRPr="00C8159F">
              <w:rPr>
                <w:rFonts w:asciiTheme="minorHAnsi" w:hAnsiTheme="minorHAnsi" w:cstheme="minorHAnsi"/>
              </w:rPr>
              <w:t xml:space="preserve">however, there is no dependency on any of the systems at the TPMA office required for personal file services to function. Through its data provider, Sondhi Solutions, LLC, TPMA has a data redundancy process in place. At a high level, all email and documents at TPMA are replicated to the Microsoft Office 365 subscription, which provides geographic redundancy among three regional data centers ensuring the risk of data loss is extremely low. </w:t>
            </w:r>
          </w:p>
          <w:p w14:paraId="401224B5" w14:textId="77777777" w:rsidR="00130345" w:rsidRPr="00C8159F" w:rsidRDefault="00130345" w:rsidP="00C8159F">
            <w:pPr>
              <w:rPr>
                <w:rFonts w:asciiTheme="minorHAnsi" w:hAnsiTheme="minorHAnsi" w:cstheme="minorHAnsi"/>
              </w:rPr>
            </w:pPr>
          </w:p>
          <w:p w14:paraId="664CD21E" w14:textId="3CC66DB9" w:rsidR="00C8159F" w:rsidRDefault="00C8159F" w:rsidP="00C8159F">
            <w:pPr>
              <w:rPr>
                <w:rFonts w:asciiTheme="minorHAnsi" w:hAnsiTheme="minorHAnsi" w:cstheme="minorHAnsi"/>
              </w:rPr>
            </w:pPr>
            <w:r w:rsidRPr="00C8159F">
              <w:rPr>
                <w:rFonts w:asciiTheme="minorHAnsi" w:hAnsiTheme="minorHAnsi" w:cstheme="minorHAnsi"/>
              </w:rPr>
              <w:t xml:space="preserve">All </w:t>
            </w:r>
            <w:r w:rsidR="00F945E9" w:rsidRPr="00C8159F">
              <w:rPr>
                <w:rFonts w:asciiTheme="minorHAnsi" w:hAnsiTheme="minorHAnsi" w:cstheme="minorHAnsi"/>
              </w:rPr>
              <w:t>emails are</w:t>
            </w:r>
            <w:r w:rsidRPr="00C8159F">
              <w:rPr>
                <w:rFonts w:asciiTheme="minorHAnsi" w:hAnsiTheme="minorHAnsi" w:cstheme="minorHAnsi"/>
              </w:rPr>
              <w:t xml:space="preserve"> sent and received through Exchange Online through Office 365. This is a subscription-based cloud model that stores all email files and data in Microsoft data centers located in the North Central region near Chicago, IL. All email data is replicated to three separate data centers in the North Central region. The email service itself is also located in these data centers and replicated within the region. A disaster or extended outage at the TPMA office would not impact the ability to send, receive, or retrieve data from these email servers. There is no dependency on any of the systems at the TPMA office required for email services to function. </w:t>
            </w:r>
          </w:p>
          <w:p w14:paraId="1CE64D72" w14:textId="77777777" w:rsidR="00541A21" w:rsidRPr="00C8159F" w:rsidRDefault="00541A21" w:rsidP="00C8159F">
            <w:pPr>
              <w:rPr>
                <w:rFonts w:asciiTheme="minorHAnsi" w:hAnsiTheme="minorHAnsi" w:cstheme="minorHAnsi"/>
              </w:rPr>
            </w:pPr>
          </w:p>
          <w:p w14:paraId="2C25AD14" w14:textId="073901AA" w:rsidR="00C8159F" w:rsidRDefault="00C8159F" w:rsidP="00C8159F">
            <w:pPr>
              <w:rPr>
                <w:rFonts w:asciiTheme="minorHAnsi" w:hAnsiTheme="minorHAnsi" w:cstheme="minorHAnsi"/>
              </w:rPr>
            </w:pPr>
            <w:r w:rsidRPr="00C8159F">
              <w:rPr>
                <w:rFonts w:asciiTheme="minorHAnsi" w:hAnsiTheme="minorHAnsi" w:cstheme="minorHAnsi"/>
              </w:rPr>
              <w:t xml:space="preserve">All individual document storage is replicated to OneDrive for Business through Office 365. This is a subscription-based cloud model that stores all files in Microsoft data centers located in the North Central region near Chicago, IL. All files are replicated to three separate data centers in the North Central region. A disaster or extended outage at the TPMA office would not </w:t>
            </w:r>
            <w:r w:rsidR="00F945E9" w:rsidRPr="00C8159F">
              <w:rPr>
                <w:rFonts w:asciiTheme="minorHAnsi" w:hAnsiTheme="minorHAnsi" w:cstheme="minorHAnsi"/>
              </w:rPr>
              <w:t>impact</w:t>
            </w:r>
            <w:r w:rsidRPr="00C8159F">
              <w:rPr>
                <w:rFonts w:asciiTheme="minorHAnsi" w:hAnsiTheme="minorHAnsi" w:cstheme="minorHAnsi"/>
              </w:rPr>
              <w:t xml:space="preserve"> the ability to access and replicate data to the OneDrive service. There is no dependency on any of the systems at the TPMA office required for personal file services to function.</w:t>
            </w:r>
          </w:p>
          <w:p w14:paraId="2766A955" w14:textId="77777777" w:rsidR="001572D6" w:rsidRPr="00C8159F" w:rsidRDefault="001572D6" w:rsidP="00C8159F">
            <w:pPr>
              <w:rPr>
                <w:rFonts w:asciiTheme="minorHAnsi" w:hAnsiTheme="minorHAnsi" w:cstheme="minorHAnsi"/>
              </w:rPr>
            </w:pPr>
          </w:p>
          <w:p w14:paraId="4A29B462" w14:textId="2500FBE0" w:rsidR="0000708C" w:rsidRDefault="00C8159F" w:rsidP="00C8159F">
            <w:pPr>
              <w:rPr>
                <w:rFonts w:asciiTheme="minorHAnsi" w:hAnsiTheme="minorHAnsi" w:cstheme="minorHAnsi"/>
              </w:rPr>
            </w:pPr>
            <w:r w:rsidRPr="00C8159F">
              <w:rPr>
                <w:rFonts w:asciiTheme="minorHAnsi" w:hAnsiTheme="minorHAnsi" w:cstheme="minorHAnsi"/>
              </w:rPr>
              <w:t xml:space="preserve">All group document storage is replicated to SharePoint Online services through Office 365. This is a subscription-based cloud model that stores all files in Microsoft data centers located in the North Central region near Chicago, IL. All group files are replicated to three separate data centers in the North Central region. A disaster or extended outage at the TPMA office would not </w:t>
            </w:r>
            <w:r w:rsidR="00F945E9" w:rsidRPr="00C8159F">
              <w:rPr>
                <w:rFonts w:asciiTheme="minorHAnsi" w:hAnsiTheme="minorHAnsi" w:cstheme="minorHAnsi"/>
              </w:rPr>
              <w:t>impact</w:t>
            </w:r>
            <w:r w:rsidRPr="00C8159F">
              <w:rPr>
                <w:rFonts w:asciiTheme="minorHAnsi" w:hAnsiTheme="minorHAnsi" w:cstheme="minorHAnsi"/>
              </w:rPr>
              <w:t xml:space="preserve"> the ability to access and replicate data to the SharePoint online service.</w:t>
            </w:r>
          </w:p>
          <w:p w14:paraId="4E3A91C0" w14:textId="3C6DAC7C" w:rsidR="001F5228" w:rsidRPr="00A2550B" w:rsidRDefault="001F5228" w:rsidP="00C8159F">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7"/>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242FA583" w14:textId="77777777" w:rsidR="001F5228" w:rsidRDefault="001F5228" w:rsidP="00BF70C2">
            <w:pPr>
              <w:rPr>
                <w:rFonts w:asciiTheme="minorHAnsi" w:hAnsiTheme="minorHAnsi" w:cstheme="minorHAnsi"/>
                <w:bCs/>
              </w:rPr>
            </w:pPr>
          </w:p>
          <w:p w14:paraId="08E455BB" w14:textId="4DE2C435" w:rsidR="00BF70C2" w:rsidRDefault="00BF70C2" w:rsidP="00BF70C2">
            <w:pPr>
              <w:rPr>
                <w:rFonts w:asciiTheme="minorHAnsi" w:hAnsiTheme="minorHAnsi" w:cstheme="minorHAnsi"/>
                <w:bCs/>
              </w:rPr>
            </w:pPr>
            <w:r w:rsidRPr="00BF70C2">
              <w:rPr>
                <w:rFonts w:asciiTheme="minorHAnsi" w:hAnsiTheme="minorHAnsi" w:cstheme="minorHAnsi"/>
                <w:bCs/>
              </w:rPr>
              <w:t xml:space="preserve">Several organizational resources are available to the </w:t>
            </w:r>
            <w:r w:rsidR="00002F38">
              <w:rPr>
                <w:rFonts w:asciiTheme="minorHAnsi" w:hAnsiTheme="minorHAnsi" w:cstheme="minorHAnsi"/>
                <w:bCs/>
              </w:rPr>
              <w:t>TPMA t</w:t>
            </w:r>
            <w:r w:rsidRPr="00BF70C2">
              <w:rPr>
                <w:rFonts w:asciiTheme="minorHAnsi" w:hAnsiTheme="minorHAnsi" w:cstheme="minorHAnsi"/>
                <w:bCs/>
              </w:rPr>
              <w:t xml:space="preserve">eam to </w:t>
            </w:r>
            <w:r w:rsidR="001F1DDC" w:rsidRPr="00BF70C2">
              <w:rPr>
                <w:rFonts w:asciiTheme="minorHAnsi" w:hAnsiTheme="minorHAnsi" w:cstheme="minorHAnsi"/>
                <w:bCs/>
              </w:rPr>
              <w:t>conduct</w:t>
            </w:r>
            <w:r w:rsidRPr="00BF70C2">
              <w:rPr>
                <w:rFonts w:asciiTheme="minorHAnsi" w:hAnsiTheme="minorHAnsi" w:cstheme="minorHAnsi"/>
                <w:bCs/>
              </w:rPr>
              <w:t xml:space="preserve"> the services identified in this proposal. TPMA utilizes individual conference lines for all staff as well as software for virtual meetings, trainings, and webinars. This software will be used to maintain consistent and regular communication with the client as well as with the subcontractors on this project. TPMA also uses SPSS, R, and Excel for data organization and analysis, which will be leveraged for this project as well as SurveyLegend, the survey design and administration software. To ensure secure data transfer, TPMA offers access to Citrix ShareFile (a secure data sharing system) and will develop proper data collection and sharing protocols upon project award. </w:t>
            </w:r>
          </w:p>
          <w:p w14:paraId="319F4F7F" w14:textId="77777777" w:rsidR="00BF70C2" w:rsidRPr="00BF70C2" w:rsidRDefault="00BF70C2" w:rsidP="00BF70C2">
            <w:pPr>
              <w:rPr>
                <w:rFonts w:asciiTheme="minorHAnsi" w:hAnsiTheme="minorHAnsi" w:cstheme="minorHAnsi"/>
                <w:bCs/>
              </w:rPr>
            </w:pPr>
          </w:p>
          <w:p w14:paraId="3AB99E45" w14:textId="77777777" w:rsidR="00BF70C2" w:rsidRDefault="00BF70C2" w:rsidP="00BF70C2">
            <w:pPr>
              <w:rPr>
                <w:rFonts w:asciiTheme="minorHAnsi" w:hAnsiTheme="minorHAnsi" w:cstheme="minorHAnsi"/>
                <w:bCs/>
              </w:rPr>
            </w:pPr>
            <w:r w:rsidRPr="00BF70C2">
              <w:rPr>
                <w:rFonts w:asciiTheme="minorHAnsi" w:hAnsiTheme="minorHAnsi" w:cstheme="minorHAnsi"/>
                <w:bCs/>
              </w:rPr>
              <w:t>Ensuring the security of participant information, as well as response data is of utmost importance to the Team.</w:t>
            </w:r>
          </w:p>
          <w:p w14:paraId="33B7E1F6" w14:textId="77777777" w:rsidR="00BF70C2" w:rsidRPr="00BF70C2" w:rsidRDefault="00BF70C2" w:rsidP="00BF70C2">
            <w:pPr>
              <w:rPr>
                <w:rFonts w:asciiTheme="minorHAnsi" w:hAnsiTheme="minorHAnsi" w:cstheme="minorHAnsi"/>
                <w:bCs/>
              </w:rPr>
            </w:pPr>
          </w:p>
          <w:p w14:paraId="2422D6C8" w14:textId="36D815C4" w:rsidR="009E79EB" w:rsidRPr="00BF70C2" w:rsidRDefault="00BF70C2" w:rsidP="00BF70C2">
            <w:pPr>
              <w:rPr>
                <w:rFonts w:asciiTheme="minorHAnsi" w:hAnsiTheme="minorHAnsi" w:cstheme="minorHAnsi"/>
                <w:bCs/>
              </w:rPr>
            </w:pPr>
            <w:r w:rsidRPr="00BF70C2">
              <w:rPr>
                <w:rFonts w:asciiTheme="minorHAnsi" w:hAnsiTheme="minorHAnsi" w:cstheme="minorHAnsi"/>
                <w:bCs/>
              </w:rPr>
              <w:t xml:space="preserve">For the purposes of this project, sensitive information can be described as data that must be protected from unauthorized access to safeguard the privacy or security of an individual or organization. Sensitive information is generally classified in one of three primary categories: </w:t>
            </w:r>
          </w:p>
          <w:p w14:paraId="690F9BA5" w14:textId="43143523" w:rsidR="00BF70C2" w:rsidRPr="009E79EB" w:rsidRDefault="00BF70C2" w:rsidP="009E79EB">
            <w:pPr>
              <w:pStyle w:val="ListParagraph"/>
              <w:numPr>
                <w:ilvl w:val="0"/>
                <w:numId w:val="30"/>
              </w:numPr>
              <w:spacing w:before="120" w:after="120"/>
              <w:contextualSpacing w:val="0"/>
              <w:rPr>
                <w:rFonts w:asciiTheme="minorHAnsi" w:hAnsiTheme="minorHAnsi" w:cstheme="minorHAnsi"/>
                <w:bCs/>
              </w:rPr>
            </w:pPr>
            <w:r w:rsidRPr="009E79EB">
              <w:rPr>
                <w:rFonts w:asciiTheme="minorHAnsi" w:hAnsiTheme="minorHAnsi" w:cstheme="minorHAnsi"/>
                <w:bCs/>
              </w:rPr>
              <w:t xml:space="preserve">Personal Information - Sensitive personally identifiable information (PII) is data that can be used to identify an individual and that, if disclosed, could result in harm to that individual. PII may include biometric data, medical information, personally identifiable financial information as well as unique identifiers such as driver license, </w:t>
            </w:r>
            <w:r w:rsidR="0022498A" w:rsidRPr="009E79EB">
              <w:rPr>
                <w:rFonts w:asciiTheme="minorHAnsi" w:hAnsiTheme="minorHAnsi" w:cstheme="minorHAnsi"/>
                <w:bCs/>
              </w:rPr>
              <w:t>passport,</w:t>
            </w:r>
            <w:r w:rsidRPr="009E79EB">
              <w:rPr>
                <w:rFonts w:asciiTheme="minorHAnsi" w:hAnsiTheme="minorHAnsi" w:cstheme="minorHAnsi"/>
                <w:bCs/>
              </w:rPr>
              <w:t xml:space="preserve"> or Social Security numbers.</w:t>
            </w:r>
          </w:p>
          <w:p w14:paraId="16D2FA29" w14:textId="6132D8D1" w:rsidR="00BF70C2" w:rsidRPr="009E79EB" w:rsidRDefault="00BF70C2" w:rsidP="009E79EB">
            <w:pPr>
              <w:pStyle w:val="ListParagraph"/>
              <w:numPr>
                <w:ilvl w:val="0"/>
                <w:numId w:val="30"/>
              </w:numPr>
              <w:spacing w:before="120" w:after="120"/>
              <w:contextualSpacing w:val="0"/>
              <w:rPr>
                <w:rFonts w:asciiTheme="minorHAnsi" w:hAnsiTheme="minorHAnsi" w:cstheme="minorHAnsi"/>
                <w:bCs/>
              </w:rPr>
            </w:pPr>
            <w:r w:rsidRPr="009E79EB">
              <w:rPr>
                <w:rFonts w:asciiTheme="minorHAnsi" w:hAnsiTheme="minorHAnsi" w:cstheme="minorHAnsi"/>
                <w:bCs/>
              </w:rPr>
              <w:t xml:space="preserve">Business Information - Sensitive business information includes anything that poses a risk to the organization if made public. Such information may include trade secrets, financial data, </w:t>
            </w:r>
            <w:r w:rsidR="0022498A" w:rsidRPr="009E79EB">
              <w:rPr>
                <w:rFonts w:asciiTheme="minorHAnsi" w:hAnsiTheme="minorHAnsi" w:cstheme="minorHAnsi"/>
                <w:bCs/>
              </w:rPr>
              <w:t>supplier,</w:t>
            </w:r>
            <w:r w:rsidRPr="009E79EB">
              <w:rPr>
                <w:rFonts w:asciiTheme="minorHAnsi" w:hAnsiTheme="minorHAnsi" w:cstheme="minorHAnsi"/>
                <w:bCs/>
              </w:rPr>
              <w:t xml:space="preserve"> or customer information.</w:t>
            </w:r>
          </w:p>
          <w:p w14:paraId="77F59A2F" w14:textId="323CBB05" w:rsidR="0000708C" w:rsidRPr="001F5228" w:rsidRDefault="00BF70C2" w:rsidP="009E79EB">
            <w:pPr>
              <w:pStyle w:val="ListParagraph"/>
              <w:numPr>
                <w:ilvl w:val="0"/>
                <w:numId w:val="30"/>
              </w:numPr>
              <w:spacing w:before="120" w:after="120"/>
              <w:contextualSpacing w:val="0"/>
              <w:rPr>
                <w:rFonts w:asciiTheme="minorHAnsi" w:hAnsiTheme="minorHAnsi" w:cstheme="minorHAnsi"/>
                <w:b/>
              </w:rPr>
            </w:pPr>
            <w:r w:rsidRPr="009E79EB">
              <w:rPr>
                <w:rFonts w:asciiTheme="minorHAnsi" w:hAnsiTheme="minorHAnsi" w:cstheme="minorHAnsi"/>
                <w:bCs/>
              </w:rPr>
              <w:t xml:space="preserve">Classified Information - Government bodies may restrict information according to its level of sensitivity (ex: restricted, confidential, </w:t>
            </w:r>
            <w:r w:rsidR="0022498A" w:rsidRPr="009E79EB">
              <w:rPr>
                <w:rFonts w:asciiTheme="minorHAnsi" w:hAnsiTheme="minorHAnsi" w:cstheme="minorHAnsi"/>
                <w:bCs/>
              </w:rPr>
              <w:t>secret,</w:t>
            </w:r>
            <w:r w:rsidRPr="009E79EB">
              <w:rPr>
                <w:rFonts w:asciiTheme="minorHAnsi" w:hAnsiTheme="minorHAnsi" w:cstheme="minorHAnsi"/>
                <w:bCs/>
              </w:rPr>
              <w:t xml:space="preserve"> and top secret). Information is generally classified to protect security and may be declassified once the risk of harm has passed.</w:t>
            </w:r>
          </w:p>
          <w:p w14:paraId="6CCBFCB4" w14:textId="6AC135E9" w:rsidR="001F5228" w:rsidRPr="001F5228" w:rsidRDefault="001F5228" w:rsidP="001F5228">
            <w:pPr>
              <w:spacing w:before="120" w:after="120"/>
              <w:ind w:left="360"/>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22"/>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28CC21EA" w14:textId="77777777" w:rsidR="001F5228" w:rsidRDefault="001F5228" w:rsidP="00CA1CD7">
            <w:pPr>
              <w:rPr>
                <w:rFonts w:asciiTheme="minorHAnsi" w:hAnsiTheme="minorHAnsi" w:cstheme="minorHAnsi"/>
                <w:szCs w:val="24"/>
              </w:rPr>
            </w:pPr>
          </w:p>
          <w:p w14:paraId="397EDAB2" w14:textId="3A3DDC0C" w:rsidR="002B4142" w:rsidRDefault="00CA1CD7" w:rsidP="00CA1CD7">
            <w:pPr>
              <w:rPr>
                <w:rFonts w:asciiTheme="minorHAnsi" w:hAnsiTheme="minorHAnsi" w:cstheme="minorHAnsi"/>
                <w:szCs w:val="24"/>
              </w:rPr>
            </w:pPr>
            <w:r>
              <w:rPr>
                <w:rFonts w:asciiTheme="minorHAnsi" w:hAnsiTheme="minorHAnsi" w:cstheme="minorHAnsi"/>
                <w:szCs w:val="24"/>
              </w:rPr>
              <w:t xml:space="preserve">In our home state of Indiana, we have </w:t>
            </w:r>
            <w:r w:rsidR="004E0B96">
              <w:rPr>
                <w:rFonts w:asciiTheme="minorHAnsi" w:hAnsiTheme="minorHAnsi" w:cstheme="minorHAnsi"/>
                <w:szCs w:val="24"/>
              </w:rPr>
              <w:t>successfully delivered project</w:t>
            </w:r>
            <w:r w:rsidR="001F5228">
              <w:rPr>
                <w:rFonts w:asciiTheme="minorHAnsi" w:hAnsiTheme="minorHAnsi" w:cstheme="minorHAnsi"/>
                <w:szCs w:val="24"/>
              </w:rPr>
              <w:t>s</w:t>
            </w:r>
            <w:r w:rsidR="004E0B96">
              <w:rPr>
                <w:rFonts w:asciiTheme="minorHAnsi" w:hAnsiTheme="minorHAnsi" w:cstheme="minorHAnsi"/>
                <w:szCs w:val="24"/>
              </w:rPr>
              <w:t xml:space="preserve"> to </w:t>
            </w:r>
            <w:r w:rsidR="002B4142">
              <w:rPr>
                <w:rFonts w:asciiTheme="minorHAnsi" w:hAnsiTheme="minorHAnsi" w:cstheme="minorHAnsi"/>
                <w:szCs w:val="24"/>
              </w:rPr>
              <w:t>the</w:t>
            </w:r>
            <w:r w:rsidRPr="00CA1CD7">
              <w:rPr>
                <w:rFonts w:asciiTheme="minorHAnsi" w:hAnsiTheme="minorHAnsi" w:cstheme="minorHAnsi"/>
                <w:szCs w:val="24"/>
              </w:rPr>
              <w:t xml:space="preserve"> Indiana Family and Social Services Administration, Indiana State Department of Health, Indiana Department of Education, Indiana Department of Workforce Development, Indiana Economic Development Corporation, Indiana Commission for Higher Education, and the Indiana Office of Defense Development. </w:t>
            </w:r>
          </w:p>
          <w:p w14:paraId="46361231" w14:textId="77777777" w:rsidR="002B4142" w:rsidRDefault="002B4142" w:rsidP="00CA1CD7">
            <w:pPr>
              <w:rPr>
                <w:rFonts w:asciiTheme="minorHAnsi" w:hAnsiTheme="minorHAnsi" w:cstheme="minorHAnsi"/>
                <w:szCs w:val="24"/>
              </w:rPr>
            </w:pPr>
          </w:p>
          <w:p w14:paraId="4CF9E148" w14:textId="216946AA" w:rsidR="00CA1CD7" w:rsidRDefault="00CA1CD7" w:rsidP="00CA1CD7">
            <w:pPr>
              <w:rPr>
                <w:rFonts w:asciiTheme="minorHAnsi" w:hAnsiTheme="minorHAnsi" w:cstheme="minorHAnsi"/>
                <w:szCs w:val="24"/>
              </w:rPr>
            </w:pPr>
            <w:r w:rsidRPr="00CA1CD7">
              <w:rPr>
                <w:rFonts w:asciiTheme="minorHAnsi" w:hAnsiTheme="minorHAnsi" w:cstheme="minorHAnsi"/>
                <w:szCs w:val="24"/>
              </w:rPr>
              <w:t xml:space="preserve">Additionally, our portfolio of </w:t>
            </w:r>
            <w:r w:rsidR="000D7FD4">
              <w:rPr>
                <w:rFonts w:asciiTheme="minorHAnsi" w:hAnsiTheme="minorHAnsi" w:cstheme="minorHAnsi"/>
                <w:szCs w:val="24"/>
              </w:rPr>
              <w:t xml:space="preserve">evaluation </w:t>
            </w:r>
            <w:r w:rsidRPr="00CA1CD7">
              <w:rPr>
                <w:rFonts w:asciiTheme="minorHAnsi" w:hAnsiTheme="minorHAnsi" w:cstheme="minorHAnsi"/>
                <w:szCs w:val="24"/>
              </w:rPr>
              <w:t xml:space="preserve">work has placed us on the ground in </w:t>
            </w:r>
            <w:r w:rsidR="002B4142">
              <w:rPr>
                <w:rFonts w:asciiTheme="minorHAnsi" w:hAnsiTheme="minorHAnsi" w:cstheme="minorHAnsi"/>
                <w:szCs w:val="24"/>
              </w:rPr>
              <w:t xml:space="preserve">several quasi-government and non-profit organizations across the </w:t>
            </w:r>
            <w:r w:rsidRPr="00CA1CD7">
              <w:rPr>
                <w:rFonts w:asciiTheme="minorHAnsi" w:hAnsiTheme="minorHAnsi" w:cstheme="minorHAnsi"/>
                <w:szCs w:val="24"/>
              </w:rPr>
              <w:t xml:space="preserve">state to collect data, drive strategies, and develop meaningful action plans to strengthen the communities throughout Indiana. </w:t>
            </w:r>
          </w:p>
          <w:p w14:paraId="6A9040F6" w14:textId="77777777" w:rsidR="000766FD" w:rsidRDefault="000766FD" w:rsidP="00CA1CD7">
            <w:pPr>
              <w:rPr>
                <w:rFonts w:asciiTheme="minorHAnsi" w:hAnsiTheme="minorHAnsi" w:cstheme="minorHAnsi"/>
                <w:szCs w:val="24"/>
              </w:rPr>
            </w:pPr>
          </w:p>
          <w:p w14:paraId="2908FBF4" w14:textId="6B5D9897" w:rsidR="00493F29" w:rsidRDefault="00127F65" w:rsidP="000766FD">
            <w:pPr>
              <w:rPr>
                <w:rFonts w:asciiTheme="minorHAnsi" w:hAnsiTheme="minorHAnsi" w:cstheme="minorHAnsi"/>
                <w:szCs w:val="24"/>
              </w:rPr>
            </w:pPr>
            <w:r>
              <w:rPr>
                <w:rFonts w:asciiTheme="minorHAnsi" w:hAnsiTheme="minorHAnsi" w:cstheme="minorHAnsi"/>
                <w:szCs w:val="24"/>
              </w:rPr>
              <w:t>In addition to our work in Indiana, T</w:t>
            </w:r>
            <w:r w:rsidR="000766FD">
              <w:rPr>
                <w:rFonts w:asciiTheme="minorHAnsi" w:hAnsiTheme="minorHAnsi" w:cstheme="minorHAnsi"/>
                <w:szCs w:val="24"/>
              </w:rPr>
              <w:t xml:space="preserve">PMA has worked with </w:t>
            </w:r>
            <w:r w:rsidR="00CA62B9">
              <w:rPr>
                <w:rFonts w:asciiTheme="minorHAnsi" w:hAnsiTheme="minorHAnsi" w:cstheme="minorHAnsi"/>
                <w:szCs w:val="24"/>
              </w:rPr>
              <w:t xml:space="preserve">more than fifty </w:t>
            </w:r>
            <w:r w:rsidR="000766FD">
              <w:rPr>
                <w:rFonts w:asciiTheme="minorHAnsi" w:hAnsiTheme="minorHAnsi" w:cstheme="minorHAnsi"/>
                <w:szCs w:val="24"/>
              </w:rPr>
              <w:t>state agencies</w:t>
            </w:r>
            <w:r w:rsidR="0051211B">
              <w:rPr>
                <w:rFonts w:asciiTheme="minorHAnsi" w:hAnsiTheme="minorHAnsi" w:cstheme="minorHAnsi"/>
                <w:szCs w:val="24"/>
              </w:rPr>
              <w:t xml:space="preserve"> throughout the country. An abbreviated list would include The Governor’s Office of the State of Texas, </w:t>
            </w:r>
            <w:r w:rsidR="000B0FB1">
              <w:rPr>
                <w:rFonts w:asciiTheme="minorHAnsi" w:hAnsiTheme="minorHAnsi" w:cstheme="minorHAnsi"/>
                <w:szCs w:val="24"/>
              </w:rPr>
              <w:t>the Pennsylvania Department of Labor</w:t>
            </w:r>
            <w:r w:rsidR="00F23045">
              <w:rPr>
                <w:rFonts w:asciiTheme="minorHAnsi" w:hAnsiTheme="minorHAnsi" w:cstheme="minorHAnsi"/>
                <w:szCs w:val="24"/>
              </w:rPr>
              <w:t xml:space="preserve"> &amp; Industry, </w:t>
            </w:r>
            <w:r w:rsidR="00745C24" w:rsidRPr="00745C24">
              <w:rPr>
                <w:rFonts w:asciiTheme="minorHAnsi" w:hAnsiTheme="minorHAnsi" w:cstheme="minorHAnsi"/>
                <w:szCs w:val="24"/>
              </w:rPr>
              <w:t>West Virginia Department of Economic Development</w:t>
            </w:r>
            <w:r w:rsidR="00C47D06">
              <w:rPr>
                <w:rFonts w:asciiTheme="minorHAnsi" w:hAnsiTheme="minorHAnsi" w:cstheme="minorHAnsi"/>
                <w:szCs w:val="24"/>
              </w:rPr>
              <w:t xml:space="preserve">, </w:t>
            </w:r>
            <w:r w:rsidR="00C47D06" w:rsidRPr="00C47D06">
              <w:rPr>
                <w:rFonts w:asciiTheme="minorHAnsi" w:hAnsiTheme="minorHAnsi" w:cstheme="minorHAnsi"/>
                <w:szCs w:val="24"/>
              </w:rPr>
              <w:t>New Hampshire Office of Workforce Opportunity</w:t>
            </w:r>
            <w:r w:rsidR="00C47D06">
              <w:rPr>
                <w:rFonts w:asciiTheme="minorHAnsi" w:hAnsiTheme="minorHAnsi" w:cstheme="minorHAnsi"/>
                <w:szCs w:val="24"/>
              </w:rPr>
              <w:t xml:space="preserve">, </w:t>
            </w:r>
            <w:r w:rsidR="001965FC" w:rsidRPr="001965FC">
              <w:rPr>
                <w:rFonts w:asciiTheme="minorHAnsi" w:hAnsiTheme="minorHAnsi" w:cstheme="minorHAnsi"/>
                <w:szCs w:val="24"/>
              </w:rPr>
              <w:t>Missouri Department of Higher Education and Workforce Development</w:t>
            </w:r>
            <w:r w:rsidR="001965FC">
              <w:rPr>
                <w:rFonts w:asciiTheme="minorHAnsi" w:hAnsiTheme="minorHAnsi" w:cstheme="minorHAnsi"/>
                <w:szCs w:val="24"/>
              </w:rPr>
              <w:t>,</w:t>
            </w:r>
            <w:r>
              <w:rPr>
                <w:rFonts w:asciiTheme="minorHAnsi" w:hAnsiTheme="minorHAnsi" w:cstheme="minorHAnsi"/>
                <w:szCs w:val="24"/>
              </w:rPr>
              <w:t xml:space="preserve"> and the </w:t>
            </w:r>
            <w:r w:rsidR="005B32B8" w:rsidRPr="005B32B8">
              <w:rPr>
                <w:rFonts w:asciiTheme="minorHAnsi" w:hAnsiTheme="minorHAnsi" w:cstheme="minorHAnsi"/>
                <w:szCs w:val="24"/>
              </w:rPr>
              <w:t>Rhode Island Office of the Postsecondary Commissioner</w:t>
            </w:r>
            <w:r w:rsidR="00DC2A19">
              <w:rPr>
                <w:rFonts w:asciiTheme="minorHAnsi" w:hAnsiTheme="minorHAnsi" w:cstheme="minorHAnsi"/>
                <w:szCs w:val="24"/>
              </w:rPr>
              <w:t>.</w:t>
            </w:r>
            <w:r w:rsidR="005B32B8">
              <w:rPr>
                <w:rFonts w:asciiTheme="minorHAnsi" w:hAnsiTheme="minorHAnsi" w:cstheme="minorHAnsi"/>
                <w:szCs w:val="24"/>
              </w:rPr>
              <w:t xml:space="preserve"> </w:t>
            </w:r>
          </w:p>
          <w:p w14:paraId="6B738BAC" w14:textId="77777777" w:rsidR="00493F29" w:rsidRPr="004A32F6" w:rsidRDefault="00493F29" w:rsidP="000766FD">
            <w:pPr>
              <w:rPr>
                <w:rFonts w:asciiTheme="minorHAnsi" w:hAnsiTheme="minorHAnsi" w:cstheme="minorHAnsi"/>
                <w:szCs w:val="24"/>
              </w:rPr>
            </w:pPr>
          </w:p>
          <w:p w14:paraId="3F1E9474" w14:textId="369D06DE" w:rsidR="00CA1CD7" w:rsidRPr="004A32F6" w:rsidRDefault="006758FA" w:rsidP="00DC5214">
            <w:pPr>
              <w:rPr>
                <w:rFonts w:asciiTheme="minorHAnsi" w:hAnsiTheme="minorHAnsi" w:cstheme="minorHAnsi"/>
                <w:szCs w:val="24"/>
              </w:rPr>
            </w:pPr>
            <w:r w:rsidRPr="004A32F6">
              <w:rPr>
                <w:rFonts w:asciiTheme="minorHAnsi" w:hAnsiTheme="minorHAnsi" w:cstheme="minorHAnsi"/>
                <w:szCs w:val="24"/>
              </w:rPr>
              <w:t xml:space="preserve">An abbreviated list of our </w:t>
            </w:r>
            <w:r w:rsidR="00493F29" w:rsidRPr="004A32F6">
              <w:rPr>
                <w:rFonts w:asciiTheme="minorHAnsi" w:hAnsiTheme="minorHAnsi" w:cstheme="minorHAnsi"/>
                <w:szCs w:val="24"/>
              </w:rPr>
              <w:t xml:space="preserve">evaluation work with </w:t>
            </w:r>
            <w:r w:rsidR="00AD1652" w:rsidRPr="004A32F6">
              <w:rPr>
                <w:rFonts w:asciiTheme="minorHAnsi" w:hAnsiTheme="minorHAnsi" w:cstheme="minorHAnsi"/>
                <w:szCs w:val="24"/>
              </w:rPr>
              <w:t xml:space="preserve">state </w:t>
            </w:r>
            <w:r w:rsidR="00493F29" w:rsidRPr="004A32F6">
              <w:rPr>
                <w:rFonts w:asciiTheme="minorHAnsi" w:hAnsiTheme="minorHAnsi" w:cstheme="minorHAnsi"/>
                <w:szCs w:val="24"/>
              </w:rPr>
              <w:t>higher education</w:t>
            </w:r>
            <w:r w:rsidR="00AD1652" w:rsidRPr="004A32F6">
              <w:rPr>
                <w:rFonts w:asciiTheme="minorHAnsi" w:hAnsiTheme="minorHAnsi" w:cstheme="minorHAnsi"/>
                <w:szCs w:val="24"/>
              </w:rPr>
              <w:t xml:space="preserve"> institutions includes </w:t>
            </w:r>
            <w:r w:rsidR="00F842A4" w:rsidRPr="004A32F6">
              <w:rPr>
                <w:rFonts w:asciiTheme="minorHAnsi" w:hAnsiTheme="minorHAnsi" w:cstheme="minorHAnsi"/>
                <w:szCs w:val="24"/>
              </w:rPr>
              <w:t xml:space="preserve">Indiana State University, </w:t>
            </w:r>
            <w:r w:rsidR="00AB04EE" w:rsidRPr="004A32F6">
              <w:rPr>
                <w:rFonts w:asciiTheme="minorHAnsi" w:hAnsiTheme="minorHAnsi" w:cstheme="minorHAnsi"/>
                <w:szCs w:val="24"/>
              </w:rPr>
              <w:t>Indiana University School of Global and International Studies</w:t>
            </w:r>
            <w:r w:rsidR="00462B04" w:rsidRPr="004A32F6">
              <w:rPr>
                <w:rFonts w:asciiTheme="minorHAnsi" w:hAnsiTheme="minorHAnsi" w:cstheme="minorHAnsi"/>
                <w:szCs w:val="24"/>
              </w:rPr>
              <w:t xml:space="preserve">, </w:t>
            </w:r>
            <w:r w:rsidR="004A32F6" w:rsidRPr="004A32F6">
              <w:rPr>
                <w:rFonts w:asciiTheme="minorHAnsi" w:hAnsiTheme="minorHAnsi" w:cstheme="minorHAnsi"/>
                <w:szCs w:val="24"/>
              </w:rPr>
              <w:t xml:space="preserve">Ivy Tech Community College (IN), </w:t>
            </w:r>
            <w:r w:rsidR="00454BB2" w:rsidRPr="004A32F6">
              <w:rPr>
                <w:rFonts w:asciiTheme="minorHAnsi" w:hAnsiTheme="minorHAnsi" w:cstheme="minorHAnsi"/>
                <w:szCs w:val="24"/>
              </w:rPr>
              <w:t xml:space="preserve">Virginia Community College System, </w:t>
            </w:r>
            <w:r w:rsidR="0011115D" w:rsidRPr="004A32F6">
              <w:rPr>
                <w:rFonts w:asciiTheme="minorHAnsi" w:hAnsiTheme="minorHAnsi" w:cstheme="minorHAnsi"/>
                <w:szCs w:val="24"/>
              </w:rPr>
              <w:t xml:space="preserve">University of Central Missouri, </w:t>
            </w:r>
            <w:r w:rsidR="00C12728" w:rsidRPr="004A32F6">
              <w:rPr>
                <w:rFonts w:asciiTheme="minorHAnsi" w:hAnsiTheme="minorHAnsi" w:cstheme="minorHAnsi"/>
                <w:szCs w:val="24"/>
              </w:rPr>
              <w:t>Pima Community College</w:t>
            </w:r>
            <w:r w:rsidR="008A1FF5">
              <w:rPr>
                <w:rFonts w:asciiTheme="minorHAnsi" w:hAnsiTheme="minorHAnsi" w:cstheme="minorHAnsi"/>
                <w:szCs w:val="24"/>
              </w:rPr>
              <w:t xml:space="preserve"> (AZ)</w:t>
            </w:r>
            <w:r w:rsidR="00C12728" w:rsidRPr="004A32F6">
              <w:rPr>
                <w:rFonts w:asciiTheme="minorHAnsi" w:hAnsiTheme="minorHAnsi" w:cstheme="minorHAnsi"/>
                <w:szCs w:val="24"/>
              </w:rPr>
              <w:t>,</w:t>
            </w:r>
            <w:r w:rsidR="00462B04" w:rsidRPr="004A32F6">
              <w:rPr>
                <w:rFonts w:asciiTheme="minorHAnsi" w:hAnsiTheme="minorHAnsi" w:cstheme="minorHAnsi"/>
                <w:szCs w:val="24"/>
              </w:rPr>
              <w:t xml:space="preserve"> Cape Cod Community College</w:t>
            </w:r>
            <w:r w:rsidRPr="004A32F6">
              <w:rPr>
                <w:rFonts w:asciiTheme="minorHAnsi" w:hAnsiTheme="minorHAnsi" w:cstheme="minorHAnsi"/>
                <w:szCs w:val="24"/>
              </w:rPr>
              <w:t xml:space="preserve">, </w:t>
            </w:r>
            <w:r w:rsidR="00DC5214" w:rsidRPr="004A32F6">
              <w:rPr>
                <w:rFonts w:asciiTheme="minorHAnsi" w:hAnsiTheme="minorHAnsi" w:cstheme="minorHAnsi"/>
                <w:szCs w:val="24"/>
              </w:rPr>
              <w:t>Valparaiso University</w:t>
            </w:r>
            <w:r w:rsidR="003C41DF">
              <w:rPr>
                <w:rFonts w:asciiTheme="minorHAnsi" w:hAnsiTheme="minorHAnsi" w:cstheme="minorHAnsi"/>
                <w:szCs w:val="24"/>
              </w:rPr>
              <w:t xml:space="preserve"> (IN)</w:t>
            </w:r>
            <w:r w:rsidR="00DC5214" w:rsidRPr="004A32F6">
              <w:rPr>
                <w:rFonts w:asciiTheme="minorHAnsi" w:hAnsiTheme="minorHAnsi" w:cstheme="minorHAnsi"/>
                <w:szCs w:val="24"/>
              </w:rPr>
              <w:t>, Mountwest Community and Technical College</w:t>
            </w:r>
            <w:r w:rsidR="003C41DF">
              <w:rPr>
                <w:rFonts w:asciiTheme="minorHAnsi" w:hAnsiTheme="minorHAnsi" w:cstheme="minorHAnsi"/>
                <w:szCs w:val="24"/>
              </w:rPr>
              <w:t xml:space="preserve"> (WV)</w:t>
            </w:r>
            <w:r w:rsidR="00DC5214" w:rsidRPr="004A32F6">
              <w:rPr>
                <w:rFonts w:asciiTheme="minorHAnsi" w:hAnsiTheme="minorHAnsi" w:cstheme="minorHAnsi"/>
                <w:szCs w:val="24"/>
              </w:rPr>
              <w:t xml:space="preserve">, </w:t>
            </w:r>
            <w:r w:rsidR="008A1FF5">
              <w:rPr>
                <w:rFonts w:asciiTheme="minorHAnsi" w:hAnsiTheme="minorHAnsi" w:cstheme="minorHAnsi"/>
                <w:szCs w:val="24"/>
              </w:rPr>
              <w:t xml:space="preserve">and </w:t>
            </w:r>
            <w:r w:rsidR="00DC5214" w:rsidRPr="004A32F6">
              <w:rPr>
                <w:rFonts w:asciiTheme="minorHAnsi" w:hAnsiTheme="minorHAnsi" w:cstheme="minorHAnsi"/>
                <w:szCs w:val="24"/>
              </w:rPr>
              <w:t>Texas State Technical College</w:t>
            </w:r>
            <w:r w:rsidR="008A1FF5">
              <w:rPr>
                <w:rFonts w:asciiTheme="minorHAnsi" w:hAnsiTheme="minorHAnsi" w:cstheme="minorHAnsi"/>
                <w:szCs w:val="24"/>
              </w:rPr>
              <w:t>.</w:t>
            </w:r>
          </w:p>
          <w:p w14:paraId="3EDDA12A" w14:textId="02E4D2AD" w:rsidR="00CA1CD7" w:rsidRPr="00A2550B" w:rsidRDefault="00CA1CD7"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22"/>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00C475AE" w14:textId="77777777" w:rsidR="001F5228" w:rsidRDefault="001F5228" w:rsidP="009978C9">
            <w:pPr>
              <w:rPr>
                <w:rFonts w:asciiTheme="minorHAnsi" w:hAnsiTheme="minorHAnsi" w:cstheme="minorHAnsi"/>
                <w:szCs w:val="24"/>
              </w:rPr>
            </w:pPr>
          </w:p>
          <w:p w14:paraId="73296744" w14:textId="352D8D2B" w:rsidR="00EA402D" w:rsidRDefault="009978C9" w:rsidP="009978C9">
            <w:pPr>
              <w:rPr>
                <w:rFonts w:asciiTheme="minorHAnsi" w:hAnsiTheme="minorHAnsi" w:cstheme="minorHAnsi"/>
                <w:szCs w:val="24"/>
              </w:rPr>
            </w:pPr>
            <w:r w:rsidRPr="009978C9">
              <w:rPr>
                <w:rFonts w:asciiTheme="minorHAnsi" w:hAnsiTheme="minorHAnsi" w:cstheme="minorHAnsi"/>
                <w:szCs w:val="24"/>
              </w:rPr>
              <w:t xml:space="preserve">TPMA is a national leader in evaluation, covering a wide range of programs, from three-month evaluations of single programs to multi-year, multi-state consortium evaluations. Our team has served as a third-party evaluator for state and federal grants including 16 U.S. Department of Labor (USDOL) grants, 13 U.S. Department of Education (US ED) grants, and 7 National Science Foundation grants, as well as other private foundation grants. Because of the diversity of our evaluation practice, we know what makes evaluations unique, and will not apply a “one-size-fits-all” approach to the potential work with ARC. </w:t>
            </w:r>
            <w:r w:rsidR="00254DC7">
              <w:rPr>
                <w:rFonts w:asciiTheme="minorHAnsi" w:hAnsiTheme="minorHAnsi" w:cstheme="minorHAnsi"/>
                <w:szCs w:val="24"/>
              </w:rPr>
              <w:t xml:space="preserve">In our Executive Summary, we mention a number of similar projects including our work </w:t>
            </w:r>
            <w:r w:rsidR="00AB2E12">
              <w:rPr>
                <w:rFonts w:asciiTheme="minorHAnsi" w:hAnsiTheme="minorHAnsi" w:cstheme="minorHAnsi"/>
                <w:szCs w:val="24"/>
              </w:rPr>
              <w:t xml:space="preserve">providing these </w:t>
            </w:r>
            <w:r w:rsidR="008D5089">
              <w:rPr>
                <w:rFonts w:asciiTheme="minorHAnsi" w:hAnsiTheme="minorHAnsi" w:cstheme="minorHAnsi"/>
                <w:szCs w:val="24"/>
              </w:rPr>
              <w:t>services to</w:t>
            </w:r>
            <w:r w:rsidR="00AB2E12">
              <w:rPr>
                <w:rFonts w:asciiTheme="minorHAnsi" w:hAnsiTheme="minorHAnsi" w:cstheme="minorHAnsi"/>
                <w:szCs w:val="24"/>
              </w:rPr>
              <w:t xml:space="preserve"> the DMHA for the last four years. Below, we provide </w:t>
            </w:r>
            <w:r w:rsidR="00262977">
              <w:rPr>
                <w:rFonts w:asciiTheme="minorHAnsi" w:hAnsiTheme="minorHAnsi" w:cstheme="minorHAnsi"/>
                <w:szCs w:val="24"/>
              </w:rPr>
              <w:t xml:space="preserve">a specific summary of our work providing </w:t>
            </w:r>
            <w:r w:rsidR="00EA402D">
              <w:rPr>
                <w:rFonts w:asciiTheme="minorHAnsi" w:hAnsiTheme="minorHAnsi" w:cstheme="minorHAnsi"/>
                <w:szCs w:val="24"/>
              </w:rPr>
              <w:t>a similar scope of services.</w:t>
            </w:r>
          </w:p>
          <w:p w14:paraId="34E7D777" w14:textId="77777777" w:rsidR="00EA402D" w:rsidRDefault="00EA402D" w:rsidP="009978C9">
            <w:pPr>
              <w:rPr>
                <w:rFonts w:asciiTheme="minorHAnsi" w:hAnsiTheme="minorHAnsi" w:cstheme="minorHAnsi"/>
                <w:szCs w:val="24"/>
              </w:rPr>
            </w:pPr>
          </w:p>
          <w:p w14:paraId="5E8E1D0B" w14:textId="77777777" w:rsidR="005F68C4" w:rsidRPr="005F68C4" w:rsidRDefault="005F68C4" w:rsidP="005F68C4">
            <w:pPr>
              <w:rPr>
                <w:rFonts w:asciiTheme="minorHAnsi" w:hAnsiTheme="minorHAnsi" w:cstheme="minorHAnsi"/>
                <w:szCs w:val="24"/>
              </w:rPr>
            </w:pPr>
            <w:r w:rsidRPr="005F68C4">
              <w:rPr>
                <w:rFonts w:asciiTheme="minorHAnsi" w:hAnsiTheme="minorHAnsi" w:cstheme="minorHAnsi"/>
                <w:szCs w:val="24"/>
              </w:rPr>
              <w:t>TPMA Consultants also have a strong track record of working with government programs evaluating childcare and early childhood education programs. Our project experience includes:</w:t>
            </w:r>
          </w:p>
          <w:p w14:paraId="0CFD1C78" w14:textId="77777777" w:rsidR="005F68C4" w:rsidRPr="005F68C4" w:rsidRDefault="005F68C4" w:rsidP="00361028">
            <w:pPr>
              <w:ind w:left="697" w:hanging="360"/>
              <w:rPr>
                <w:rFonts w:asciiTheme="minorHAnsi" w:hAnsiTheme="minorHAnsi" w:cstheme="minorHAnsi"/>
                <w:szCs w:val="24"/>
              </w:rPr>
            </w:pPr>
            <w:r w:rsidRPr="005F68C4">
              <w:rPr>
                <w:rFonts w:asciiTheme="minorHAnsi" w:hAnsiTheme="minorHAnsi" w:cstheme="minorHAnsi" w:hint="eastAsia"/>
                <w:szCs w:val="24"/>
              </w:rPr>
              <w:t>•</w:t>
            </w:r>
            <w:r w:rsidRPr="005F68C4">
              <w:rPr>
                <w:rFonts w:asciiTheme="minorHAnsi" w:hAnsiTheme="minorHAnsi" w:cstheme="minorHAnsi"/>
                <w:szCs w:val="24"/>
              </w:rPr>
              <w:tab/>
              <w:t>Indiana</w:t>
            </w:r>
            <w:r w:rsidRPr="005F68C4">
              <w:rPr>
                <w:rFonts w:asciiTheme="minorHAnsi" w:hAnsiTheme="minorHAnsi" w:cstheme="minorHAnsi" w:hint="eastAsia"/>
                <w:szCs w:val="24"/>
              </w:rPr>
              <w:t>’</w:t>
            </w:r>
            <w:r w:rsidRPr="005F68C4">
              <w:rPr>
                <w:rFonts w:asciiTheme="minorHAnsi" w:hAnsiTheme="minorHAnsi" w:cstheme="minorHAnsi"/>
                <w:szCs w:val="24"/>
              </w:rPr>
              <w:t>s Early Childhood Comprehensive Systems Impact Grant for the Indiana State Department of Health</w:t>
            </w:r>
          </w:p>
          <w:p w14:paraId="6539E987" w14:textId="77777777" w:rsidR="005F68C4" w:rsidRPr="005F68C4" w:rsidRDefault="005F68C4" w:rsidP="00361028">
            <w:pPr>
              <w:ind w:left="697" w:hanging="360"/>
              <w:rPr>
                <w:rFonts w:asciiTheme="minorHAnsi" w:hAnsiTheme="minorHAnsi" w:cstheme="minorHAnsi"/>
                <w:szCs w:val="24"/>
              </w:rPr>
            </w:pPr>
            <w:r w:rsidRPr="005F68C4">
              <w:rPr>
                <w:rFonts w:asciiTheme="minorHAnsi" w:hAnsiTheme="minorHAnsi" w:cstheme="minorHAnsi" w:hint="eastAsia"/>
                <w:szCs w:val="24"/>
              </w:rPr>
              <w:t>•</w:t>
            </w:r>
            <w:r w:rsidRPr="005F68C4">
              <w:rPr>
                <w:rFonts w:asciiTheme="minorHAnsi" w:hAnsiTheme="minorHAnsi" w:cstheme="minorHAnsi"/>
                <w:szCs w:val="24"/>
              </w:rPr>
              <w:tab/>
              <w:t>Regional Childcare Impact Study for the Gateway Area Development District in Kentucky</w:t>
            </w:r>
          </w:p>
          <w:p w14:paraId="79C0DA3F" w14:textId="77777777" w:rsidR="005F68C4" w:rsidRPr="005F68C4" w:rsidRDefault="005F68C4" w:rsidP="00361028">
            <w:pPr>
              <w:ind w:left="697" w:hanging="360"/>
              <w:rPr>
                <w:rFonts w:asciiTheme="minorHAnsi" w:hAnsiTheme="minorHAnsi" w:cstheme="minorHAnsi"/>
                <w:szCs w:val="24"/>
              </w:rPr>
            </w:pPr>
            <w:r w:rsidRPr="005F68C4">
              <w:rPr>
                <w:rFonts w:asciiTheme="minorHAnsi" w:hAnsiTheme="minorHAnsi" w:cstheme="minorHAnsi" w:hint="eastAsia"/>
                <w:szCs w:val="24"/>
              </w:rPr>
              <w:t>•</w:t>
            </w:r>
            <w:r w:rsidRPr="005F68C4">
              <w:rPr>
                <w:rFonts w:asciiTheme="minorHAnsi" w:hAnsiTheme="minorHAnsi" w:cstheme="minorHAnsi"/>
                <w:szCs w:val="24"/>
              </w:rPr>
              <w:tab/>
              <w:t>Nucor Childcare Case Study, for The Manufacturing Institute in Washington, D.C.</w:t>
            </w:r>
          </w:p>
          <w:p w14:paraId="7681ACE7" w14:textId="77777777" w:rsidR="005F68C4" w:rsidRPr="005F68C4" w:rsidRDefault="005F68C4" w:rsidP="00361028">
            <w:pPr>
              <w:ind w:left="697" w:hanging="360"/>
              <w:rPr>
                <w:rFonts w:asciiTheme="minorHAnsi" w:hAnsiTheme="minorHAnsi" w:cstheme="minorHAnsi"/>
                <w:szCs w:val="24"/>
              </w:rPr>
            </w:pPr>
            <w:r w:rsidRPr="005F68C4">
              <w:rPr>
                <w:rFonts w:asciiTheme="minorHAnsi" w:hAnsiTheme="minorHAnsi" w:cstheme="minorHAnsi" w:hint="eastAsia"/>
                <w:szCs w:val="24"/>
              </w:rPr>
              <w:t>•</w:t>
            </w:r>
            <w:r w:rsidRPr="005F68C4">
              <w:rPr>
                <w:rFonts w:asciiTheme="minorHAnsi" w:hAnsiTheme="minorHAnsi" w:cstheme="minorHAnsi"/>
                <w:szCs w:val="24"/>
              </w:rPr>
              <w:tab/>
              <w:t xml:space="preserve">Invest Hamilton County </w:t>
            </w:r>
            <w:r w:rsidRPr="005F68C4">
              <w:rPr>
                <w:rFonts w:asciiTheme="minorHAnsi" w:hAnsiTheme="minorHAnsi" w:cstheme="minorHAnsi" w:hint="eastAsia"/>
                <w:szCs w:val="24"/>
              </w:rPr>
              <w:t>–</w:t>
            </w:r>
            <w:r w:rsidRPr="005F68C4">
              <w:rPr>
                <w:rFonts w:asciiTheme="minorHAnsi" w:hAnsiTheme="minorHAnsi" w:cstheme="minorHAnsi"/>
                <w:szCs w:val="24"/>
              </w:rPr>
              <w:t xml:space="preserve"> Childcare Action and Investment Plan, Invest Hamilton County Indiana</w:t>
            </w:r>
          </w:p>
          <w:p w14:paraId="67D30A3C" w14:textId="77777777" w:rsidR="005F68C4" w:rsidRPr="005F68C4" w:rsidRDefault="005F68C4" w:rsidP="00361028">
            <w:pPr>
              <w:ind w:left="697" w:hanging="360"/>
              <w:rPr>
                <w:rFonts w:asciiTheme="minorHAnsi" w:hAnsiTheme="minorHAnsi" w:cstheme="minorHAnsi"/>
                <w:szCs w:val="24"/>
              </w:rPr>
            </w:pPr>
            <w:r w:rsidRPr="005F68C4">
              <w:rPr>
                <w:rFonts w:asciiTheme="minorHAnsi" w:hAnsiTheme="minorHAnsi" w:cstheme="minorHAnsi" w:hint="eastAsia"/>
                <w:szCs w:val="24"/>
              </w:rPr>
              <w:t>•</w:t>
            </w:r>
            <w:r w:rsidRPr="005F68C4">
              <w:rPr>
                <w:rFonts w:asciiTheme="minorHAnsi" w:hAnsiTheme="minorHAnsi" w:cstheme="minorHAnsi"/>
                <w:szCs w:val="24"/>
              </w:rPr>
              <w:tab/>
              <w:t>Childcare Impact Study of LaSalle, Marshall, and Putnam Counties for the Regional Office of Education 35 in Illinois</w:t>
            </w:r>
          </w:p>
          <w:p w14:paraId="263C846D" w14:textId="77777777" w:rsidR="005F68C4" w:rsidRPr="005F68C4" w:rsidRDefault="005F68C4" w:rsidP="00361028">
            <w:pPr>
              <w:ind w:left="697" w:hanging="360"/>
              <w:rPr>
                <w:rFonts w:asciiTheme="minorHAnsi" w:hAnsiTheme="minorHAnsi" w:cstheme="minorHAnsi"/>
                <w:szCs w:val="24"/>
              </w:rPr>
            </w:pPr>
            <w:r w:rsidRPr="005F68C4">
              <w:rPr>
                <w:rFonts w:asciiTheme="minorHAnsi" w:hAnsiTheme="minorHAnsi" w:cstheme="minorHAnsi" w:hint="eastAsia"/>
                <w:szCs w:val="24"/>
              </w:rPr>
              <w:t>•</w:t>
            </w:r>
            <w:r w:rsidRPr="005F68C4">
              <w:rPr>
                <w:rFonts w:asciiTheme="minorHAnsi" w:hAnsiTheme="minorHAnsi" w:cstheme="minorHAnsi"/>
                <w:szCs w:val="24"/>
              </w:rPr>
              <w:tab/>
              <w:t>Southwest Indiana Childcare Impact Report and Action Plan for Building Blocks</w:t>
            </w:r>
          </w:p>
          <w:p w14:paraId="7AB12143" w14:textId="77777777" w:rsidR="005F68C4" w:rsidRPr="005F68C4" w:rsidRDefault="005F68C4" w:rsidP="00361028">
            <w:pPr>
              <w:ind w:left="697" w:hanging="360"/>
              <w:rPr>
                <w:rFonts w:asciiTheme="minorHAnsi" w:hAnsiTheme="minorHAnsi" w:cstheme="minorHAnsi"/>
                <w:szCs w:val="24"/>
              </w:rPr>
            </w:pPr>
            <w:r w:rsidRPr="005F68C4">
              <w:rPr>
                <w:rFonts w:asciiTheme="minorHAnsi" w:hAnsiTheme="minorHAnsi" w:cstheme="minorHAnsi" w:hint="eastAsia"/>
                <w:szCs w:val="24"/>
              </w:rPr>
              <w:t>•</w:t>
            </w:r>
            <w:r w:rsidRPr="005F68C4">
              <w:rPr>
                <w:rFonts w:asciiTheme="minorHAnsi" w:hAnsiTheme="minorHAnsi" w:cstheme="minorHAnsi"/>
                <w:szCs w:val="24"/>
              </w:rPr>
              <w:tab/>
              <w:t>Regional Childcare Impact Study for the Lincoln Trail Area Development District in Kentucky</w:t>
            </w:r>
          </w:p>
          <w:p w14:paraId="7855F51B" w14:textId="77777777" w:rsidR="005F68C4" w:rsidRPr="005F68C4" w:rsidRDefault="005F68C4" w:rsidP="00361028">
            <w:pPr>
              <w:ind w:left="697" w:hanging="360"/>
              <w:rPr>
                <w:rFonts w:asciiTheme="minorHAnsi" w:hAnsiTheme="minorHAnsi" w:cstheme="minorHAnsi"/>
                <w:szCs w:val="24"/>
              </w:rPr>
            </w:pPr>
            <w:r w:rsidRPr="005F68C4">
              <w:rPr>
                <w:rFonts w:asciiTheme="minorHAnsi" w:hAnsiTheme="minorHAnsi" w:cstheme="minorHAnsi" w:hint="eastAsia"/>
                <w:szCs w:val="24"/>
              </w:rPr>
              <w:t>•</w:t>
            </w:r>
            <w:r w:rsidRPr="005F68C4">
              <w:rPr>
                <w:rFonts w:asciiTheme="minorHAnsi" w:hAnsiTheme="minorHAnsi" w:cstheme="minorHAnsi"/>
                <w:szCs w:val="24"/>
              </w:rPr>
              <w:tab/>
              <w:t>Early Learning Impact in Northeast Indiana for Ambassador Enterprises</w:t>
            </w:r>
          </w:p>
          <w:p w14:paraId="14A9110F" w14:textId="77777777" w:rsidR="005F68C4" w:rsidRPr="005F68C4" w:rsidRDefault="005F68C4" w:rsidP="005F68C4">
            <w:pPr>
              <w:rPr>
                <w:rFonts w:asciiTheme="minorHAnsi" w:hAnsiTheme="minorHAnsi" w:cstheme="minorHAnsi"/>
                <w:szCs w:val="24"/>
              </w:rPr>
            </w:pPr>
          </w:p>
          <w:p w14:paraId="54D83AE9" w14:textId="5FDD15D3" w:rsidR="000C0BAF" w:rsidRPr="00276F78" w:rsidRDefault="005F68C4" w:rsidP="005F68C4">
            <w:pPr>
              <w:rPr>
                <w:rFonts w:asciiTheme="minorHAnsi" w:hAnsiTheme="minorHAnsi" w:cstheme="minorHAnsi"/>
                <w:szCs w:val="24"/>
              </w:rPr>
            </w:pPr>
            <w:r w:rsidRPr="005F68C4">
              <w:rPr>
                <w:rFonts w:asciiTheme="minorHAnsi" w:hAnsiTheme="minorHAnsi" w:cstheme="minorHAnsi"/>
                <w:szCs w:val="24"/>
              </w:rPr>
              <w:t xml:space="preserve">This extensive experience underscores our deep understanding of the unique challenges and requirements associated with </w:t>
            </w:r>
            <w:r w:rsidR="000F345C">
              <w:rPr>
                <w:rFonts w:asciiTheme="minorHAnsi" w:hAnsiTheme="minorHAnsi" w:cstheme="minorHAnsi"/>
                <w:szCs w:val="24"/>
              </w:rPr>
              <w:t>the impact of childcare initiatives on the vitality of local and regional economies.</w:t>
            </w:r>
            <w:r w:rsidRPr="005F68C4">
              <w:rPr>
                <w:rFonts w:asciiTheme="minorHAnsi" w:hAnsiTheme="minorHAnsi" w:cstheme="minorHAnsi"/>
                <w:szCs w:val="24"/>
              </w:rPr>
              <w:t>. Our team has collaborated with numerous state and local education agencies to design, implement, and evaluate programs that aim to enhance educational outcomes and support early childhood development. Our work in these areas often involves assessing program effectiveness, identifying areas for improvement, and providing evidence-based recommendations tailored to the specific needs of children and educators. For instance, TPMA has been instrumental in evaluating early childhood education initiatives aimed at improving literacy rates and math skills among preschoolers. We have also supported states and municipalities in rolling out professional development programs for teachers and childcare providers, ensuring that they are equipped with the latest pedagogical strategies and knowledge. In these projects, TPMA not only gathers and analyzes data but also engages with stakeholders including educators, parents, and policy makers to ensure that all perspectives are considered. This collaborative approach helps to create more inclusive and effective educational programs that meet the diverse needs of communities. Moreover, our familiarity with the regulatory and funding frameworks that govern public programs enables us to navigate these systems effectively, ensuring that projects remain compliant and optimally aligned with governmental objectives. This experience positions TPMA as a proficient and reliable partner in advancing early childhood and educational initiatives within government settings.</w:t>
            </w:r>
          </w:p>
          <w:p w14:paraId="13ECC6CB" w14:textId="77777777" w:rsidR="00B830C4" w:rsidRDefault="00B830C4" w:rsidP="00276F78">
            <w:pPr>
              <w:rPr>
                <w:rFonts w:asciiTheme="minorHAnsi" w:hAnsiTheme="minorHAnsi" w:cstheme="minorHAnsi"/>
                <w:szCs w:val="24"/>
              </w:rPr>
            </w:pPr>
          </w:p>
          <w:p w14:paraId="51A7390E" w14:textId="6A0BE84A" w:rsidR="00276F78" w:rsidRDefault="00B830C4" w:rsidP="00276F78">
            <w:pPr>
              <w:rPr>
                <w:rFonts w:asciiTheme="minorHAnsi" w:hAnsiTheme="minorHAnsi" w:cstheme="minorHAnsi"/>
                <w:szCs w:val="24"/>
              </w:rPr>
            </w:pPr>
            <w:r w:rsidRPr="00276F78">
              <w:rPr>
                <w:rFonts w:asciiTheme="minorHAnsi" w:hAnsiTheme="minorHAnsi" w:cstheme="minorHAnsi"/>
                <w:szCs w:val="24"/>
              </w:rPr>
              <w:t xml:space="preserve">EXPERIENCE CONDUCTING EVALUATIONS ACROSS MULTIPLE LOCATIONS </w:t>
            </w:r>
            <w:r>
              <w:rPr>
                <w:rFonts w:asciiTheme="minorHAnsi" w:hAnsiTheme="minorHAnsi" w:cstheme="minorHAnsi"/>
                <w:szCs w:val="24"/>
              </w:rPr>
              <w:t xml:space="preserve">| </w:t>
            </w:r>
            <w:r w:rsidR="00276F78" w:rsidRPr="00276F78">
              <w:rPr>
                <w:rFonts w:asciiTheme="minorHAnsi" w:hAnsiTheme="minorHAnsi" w:cstheme="minorHAnsi"/>
                <w:szCs w:val="24"/>
              </w:rPr>
              <w:t xml:space="preserve">TPMA’s evaluation portfolio includes numerous multi-year, multi-site evaluations of programs and projects funded by federal and state government agencies and foundations. In these city-wide, region-wide, statewide, and multi-state evaluation projects, TPMA identifies and contextualizes conditions, factors, and processes that facilitate or hinder progress, program outcomes and impact, and cross-organizational collaboration. TPMA’s evaluations of multi-site programs focus both </w:t>
            </w:r>
            <w:r w:rsidR="00F306EA" w:rsidRPr="00276F78">
              <w:rPr>
                <w:rFonts w:asciiTheme="minorHAnsi" w:hAnsiTheme="minorHAnsi" w:cstheme="minorHAnsi"/>
                <w:szCs w:val="24"/>
              </w:rPr>
              <w:t>on</w:t>
            </w:r>
            <w:r w:rsidR="00276F78" w:rsidRPr="00276F78">
              <w:rPr>
                <w:rFonts w:asciiTheme="minorHAnsi" w:hAnsiTheme="minorHAnsi" w:cstheme="minorHAnsi"/>
                <w:szCs w:val="24"/>
              </w:rPr>
              <w:t xml:space="preserve"> the extent to which individual sites are meeting their objectives, and the ways in which each site is contributing to the overall initiative. </w:t>
            </w:r>
          </w:p>
          <w:p w14:paraId="1075A836" w14:textId="77777777" w:rsidR="00B830C4" w:rsidRPr="00276F78" w:rsidRDefault="00B830C4" w:rsidP="00276F78">
            <w:pPr>
              <w:rPr>
                <w:rFonts w:asciiTheme="minorHAnsi" w:hAnsiTheme="minorHAnsi" w:cstheme="minorHAnsi"/>
                <w:szCs w:val="24"/>
              </w:rPr>
            </w:pPr>
          </w:p>
          <w:p w14:paraId="1744B6D7" w14:textId="4117405E" w:rsidR="00276F78" w:rsidRDefault="00276F78" w:rsidP="00276F78">
            <w:pPr>
              <w:rPr>
                <w:rFonts w:asciiTheme="minorHAnsi" w:hAnsiTheme="minorHAnsi" w:cstheme="minorHAnsi"/>
                <w:szCs w:val="24"/>
              </w:rPr>
            </w:pPr>
            <w:r w:rsidRPr="00276F78">
              <w:rPr>
                <w:rFonts w:asciiTheme="minorHAnsi" w:hAnsiTheme="minorHAnsi" w:cstheme="minorHAnsi"/>
                <w:szCs w:val="24"/>
              </w:rPr>
              <w:t>Through projects like the West Virginia Community and Technical College System’s Bridging the Gap US Department of Labor TAACCCT Round 3 evaluation, which was implemented statewide, TPMA has the experience of balancing a wide-ranging program implementation under a single grant. This $25 million consortium grant required the evaluation of programs focusing on energy, manufacturing, information technology, and construction operating at all nine colleges in the system. TPMA conducted both qualitative and quantitative analysis and tracked implementation at each college and across the consortium, as well as employment outcomes for participants</w:t>
            </w:r>
            <w:r w:rsidR="0022498A" w:rsidRPr="00276F78">
              <w:rPr>
                <w:rFonts w:asciiTheme="minorHAnsi" w:hAnsiTheme="minorHAnsi" w:cstheme="minorHAnsi"/>
                <w:szCs w:val="24"/>
              </w:rPr>
              <w:t xml:space="preserve">. </w:t>
            </w:r>
            <w:r w:rsidRPr="00276F78">
              <w:rPr>
                <w:rFonts w:asciiTheme="minorHAnsi" w:hAnsiTheme="minorHAnsi" w:cstheme="minorHAnsi"/>
                <w:szCs w:val="24"/>
              </w:rPr>
              <w:t>Though these programs were designed to address unique needs in their individual parts of the state, the Evaluation Team kept its focus on the overarching goal of the grant, and how successes across WVCTCS’s nine colleges rolled up into successes for the entire WVCTCS system, and for the TAACCCT program as a whole.</w:t>
            </w:r>
          </w:p>
          <w:p w14:paraId="2A06676F" w14:textId="77777777" w:rsidR="00B830C4" w:rsidRPr="00276F78" w:rsidRDefault="00B830C4" w:rsidP="00276F78">
            <w:pPr>
              <w:rPr>
                <w:rFonts w:asciiTheme="minorHAnsi" w:hAnsiTheme="minorHAnsi" w:cstheme="minorHAnsi"/>
                <w:szCs w:val="24"/>
              </w:rPr>
            </w:pPr>
          </w:p>
          <w:p w14:paraId="6E45AF32" w14:textId="75F6E4F3" w:rsidR="00276F78" w:rsidRDefault="00B830C4" w:rsidP="00276F78">
            <w:pPr>
              <w:rPr>
                <w:rFonts w:asciiTheme="minorHAnsi" w:hAnsiTheme="minorHAnsi" w:cstheme="minorHAnsi"/>
                <w:szCs w:val="24"/>
              </w:rPr>
            </w:pPr>
            <w:r w:rsidRPr="00276F78">
              <w:rPr>
                <w:rFonts w:asciiTheme="minorHAnsi" w:hAnsiTheme="minorHAnsi" w:cstheme="minorHAnsi"/>
                <w:szCs w:val="24"/>
              </w:rPr>
              <w:t xml:space="preserve">EXPERIENCE PROVIDING EVALUATION AND DATA COLLECTION TRAINING AND TECHNICAL ASSISTANCE </w:t>
            </w:r>
            <w:r>
              <w:rPr>
                <w:rFonts w:asciiTheme="minorHAnsi" w:hAnsiTheme="minorHAnsi" w:cstheme="minorHAnsi"/>
                <w:szCs w:val="24"/>
              </w:rPr>
              <w:t xml:space="preserve">| </w:t>
            </w:r>
            <w:r w:rsidR="00276F78" w:rsidRPr="00276F78">
              <w:rPr>
                <w:rFonts w:asciiTheme="minorHAnsi" w:hAnsiTheme="minorHAnsi" w:cstheme="minorHAnsi"/>
                <w:szCs w:val="24"/>
              </w:rPr>
              <w:t xml:space="preserve">Every evaluation project conducted by TPMA includes technical assistance, as the Evaluation Team seeks to work in partnership with their clients throughout the evaluation project. Additionally, TPMA has conducted projects focused specifically on training and technical assistance on data collection and measurement, evaluation, and using data to demonstrate program impact in reporting. For two years, TPMA worked with Serve Indiana to provide training and technical assistance to a total of 20 AmeriCorps State and National programs. The primary purpose of this project was to help Serve Indiana, and their recipient State and National programs, demonstrate the impact of the AmeriCorps program through accurate logic models and performance measures, and rigorous data collection methods. To ensure staff from all programs had similar foundations, TPMA provided successive large group trainings on identifying the best data collection tools, signs of high-quality data, and how to utilize research and best practices for continuous improvement. One-on-one consultations with program staff were conducted to refine logic models, performance metrics, and evaluation plans. TPMA also assisted in identifying new and refined methods for collecting the necessary data. Additionally, TPMA provided similar large-group and individual training for AmeriCorps programs in California through a contract with California Volunteers, and TPMA developed a web-based training series for America’s Service Commission and the State Service Commission across the country on high-quality data collection and reporting of data. </w:t>
            </w:r>
          </w:p>
          <w:p w14:paraId="4F9D6D3A" w14:textId="77777777" w:rsidR="00B830C4" w:rsidRPr="00276F78" w:rsidRDefault="00B830C4" w:rsidP="00276F78">
            <w:pPr>
              <w:rPr>
                <w:rFonts w:asciiTheme="minorHAnsi" w:hAnsiTheme="minorHAnsi" w:cstheme="minorHAnsi"/>
                <w:szCs w:val="24"/>
              </w:rPr>
            </w:pPr>
          </w:p>
          <w:p w14:paraId="12192CB2" w14:textId="776180D0" w:rsidR="00276F78" w:rsidRDefault="00B830C4" w:rsidP="00276F78">
            <w:pPr>
              <w:rPr>
                <w:rFonts w:asciiTheme="minorHAnsi" w:hAnsiTheme="minorHAnsi" w:cstheme="minorHAnsi"/>
                <w:szCs w:val="24"/>
              </w:rPr>
            </w:pPr>
            <w:r w:rsidRPr="00276F78">
              <w:rPr>
                <w:rFonts w:asciiTheme="minorHAnsi" w:hAnsiTheme="minorHAnsi" w:cstheme="minorHAnsi"/>
                <w:szCs w:val="24"/>
              </w:rPr>
              <w:t xml:space="preserve">DEVELOPMENT OF, AND TRAINING ON BEST USES OF, DATA COLLECTION TOOLS </w:t>
            </w:r>
            <w:r>
              <w:rPr>
                <w:rFonts w:asciiTheme="minorHAnsi" w:hAnsiTheme="minorHAnsi" w:cstheme="minorHAnsi"/>
                <w:szCs w:val="24"/>
              </w:rPr>
              <w:t xml:space="preserve">| </w:t>
            </w:r>
            <w:r w:rsidR="00276F78" w:rsidRPr="00276F78">
              <w:rPr>
                <w:rFonts w:asciiTheme="minorHAnsi" w:hAnsiTheme="minorHAnsi" w:cstheme="minorHAnsi"/>
                <w:szCs w:val="24"/>
              </w:rPr>
              <w:t>TPMA was hired as the primary evaluator for the Pennsylvania Dept. of Labor and Industry’s Workforce Innovation Fund (WIF) grant. The grant include</w:t>
            </w:r>
            <w:r w:rsidR="00C277B5">
              <w:rPr>
                <w:rFonts w:asciiTheme="minorHAnsi" w:hAnsiTheme="minorHAnsi" w:cstheme="minorHAnsi"/>
                <w:szCs w:val="24"/>
              </w:rPr>
              <w:t>d</w:t>
            </w:r>
            <w:r w:rsidR="00276F78" w:rsidRPr="00276F78">
              <w:rPr>
                <w:rFonts w:asciiTheme="minorHAnsi" w:hAnsiTheme="minorHAnsi" w:cstheme="minorHAnsi"/>
                <w:szCs w:val="24"/>
              </w:rPr>
              <w:t xml:space="preserve"> a fourteen</w:t>
            </w:r>
            <w:r w:rsidR="00C277B5">
              <w:rPr>
                <w:rFonts w:asciiTheme="minorHAnsi" w:hAnsiTheme="minorHAnsi" w:cstheme="minorHAnsi"/>
                <w:szCs w:val="24"/>
              </w:rPr>
              <w:t>-member</w:t>
            </w:r>
            <w:r w:rsidR="00276F78" w:rsidRPr="00276F78">
              <w:rPr>
                <w:rFonts w:asciiTheme="minorHAnsi" w:hAnsiTheme="minorHAnsi" w:cstheme="minorHAnsi"/>
                <w:szCs w:val="24"/>
              </w:rPr>
              <w:t xml:space="preserve"> consortium of community colleges and workforce development boards that implemented a micro-credential program</w:t>
            </w:r>
            <w:r w:rsidR="0022498A" w:rsidRPr="00276F78">
              <w:rPr>
                <w:rFonts w:asciiTheme="minorHAnsi" w:hAnsiTheme="minorHAnsi" w:cstheme="minorHAnsi"/>
                <w:szCs w:val="24"/>
              </w:rPr>
              <w:t xml:space="preserve">. </w:t>
            </w:r>
            <w:r w:rsidR="00276F78" w:rsidRPr="00276F78">
              <w:rPr>
                <w:rFonts w:asciiTheme="minorHAnsi" w:hAnsiTheme="minorHAnsi" w:cstheme="minorHAnsi"/>
                <w:szCs w:val="24"/>
              </w:rPr>
              <w:t>The project worked to develop micro-credentials in a number of industries to afford underserved populations the opportunity to obtain certifications. Since each partner institution collected data in different systems, TPMA developed customized tools to collect consistent data on program participants across the state. To ensure fidelity of the data, TPMA produced a data dictionary, trained all partnerships, conducted file reviews, and provided technical assistance for data collection. As the consortium developed and refined their innovative programming, TPMA revised and updated the data collection tools. Through regular quality assurance checks of data files, technical assistance, and protocol modifications, more than 90% of participant data (4,000 entries) were matched with state Unemployment Compensation records for the key project outcomes, wage</w:t>
            </w:r>
            <w:r w:rsidR="0029218A">
              <w:rPr>
                <w:rFonts w:asciiTheme="minorHAnsi" w:hAnsiTheme="minorHAnsi" w:cstheme="minorHAnsi"/>
                <w:szCs w:val="24"/>
              </w:rPr>
              <w:t>,</w:t>
            </w:r>
            <w:r w:rsidR="00276F78" w:rsidRPr="00276F78">
              <w:rPr>
                <w:rFonts w:asciiTheme="minorHAnsi" w:hAnsiTheme="minorHAnsi" w:cstheme="minorHAnsi"/>
                <w:szCs w:val="24"/>
              </w:rPr>
              <w:t xml:space="preserve"> and employment gains. </w:t>
            </w:r>
          </w:p>
          <w:p w14:paraId="0785EEE5" w14:textId="77777777" w:rsidR="001255FA" w:rsidRPr="00276F78" w:rsidRDefault="001255FA" w:rsidP="00276F78">
            <w:pPr>
              <w:rPr>
                <w:rFonts w:asciiTheme="minorHAnsi" w:hAnsiTheme="minorHAnsi" w:cstheme="minorHAnsi"/>
                <w:szCs w:val="24"/>
              </w:rPr>
            </w:pPr>
          </w:p>
          <w:p w14:paraId="6AD459AB" w14:textId="20938B64" w:rsidR="00276F78" w:rsidRPr="00276F78" w:rsidRDefault="00276F78" w:rsidP="00276F78">
            <w:pPr>
              <w:rPr>
                <w:rFonts w:asciiTheme="minorHAnsi" w:hAnsiTheme="minorHAnsi" w:cstheme="minorHAnsi"/>
                <w:szCs w:val="24"/>
              </w:rPr>
            </w:pPr>
            <w:r w:rsidRPr="00276F78">
              <w:rPr>
                <w:rFonts w:asciiTheme="minorHAnsi" w:hAnsiTheme="minorHAnsi" w:cstheme="minorHAnsi"/>
                <w:szCs w:val="24"/>
              </w:rPr>
              <w:t xml:space="preserve">Additionally, TPMA recently worked with Project Conserve, an environmental AmeriCorps program in North Carolina, to revise existing data collection tools and create new data collection tools to allow them to better measure program performance. TPMA reviewed existing tools and discussed program data collection goals and capabilities with program staff </w:t>
            </w:r>
            <w:r w:rsidR="00067025" w:rsidRPr="00276F78">
              <w:rPr>
                <w:rFonts w:asciiTheme="minorHAnsi" w:hAnsiTheme="minorHAnsi" w:cstheme="minorHAnsi"/>
                <w:szCs w:val="24"/>
              </w:rPr>
              <w:t>to</w:t>
            </w:r>
            <w:r w:rsidRPr="00276F78">
              <w:rPr>
                <w:rFonts w:asciiTheme="minorHAnsi" w:hAnsiTheme="minorHAnsi" w:cstheme="minorHAnsi"/>
                <w:szCs w:val="24"/>
              </w:rPr>
              <w:t xml:space="preserve"> develop effective, customized tools for program improvement. TPMA developed new standardized surveys for the Project Conserve educational efforts, focused around three key education topics. Previously, the AmeriCorps members had developed survey questions on a session-by-session basis. Additionally, TPMA and Project Conserve developed a new rating scale to consistently assess progress in environmental conservation work across project sites. TPMA piloted and revised the tools and data reporting structure based on member and staff feedback. TPMA created online tracking tools utilizing publicly available platforms to streamline data collection and analysis processes, including a summary dashboard which automatically updated as new data was reported by members. This informed program improvement by allowing program staff to track progress toward program goals. TPMA also provided training for the AmeriCorps members and staff on the new and revised data collection tools.</w:t>
            </w:r>
          </w:p>
          <w:p w14:paraId="6F80DE05" w14:textId="77777777" w:rsidR="00276F78" w:rsidRDefault="00276F78" w:rsidP="00276F78">
            <w:pPr>
              <w:rPr>
                <w:rFonts w:asciiTheme="minorHAnsi" w:hAnsiTheme="minorHAnsi" w:cstheme="minorHAnsi"/>
                <w:szCs w:val="24"/>
              </w:rPr>
            </w:pPr>
            <w:r w:rsidRPr="00276F78">
              <w:rPr>
                <w:rFonts w:asciiTheme="minorHAnsi" w:hAnsiTheme="minorHAnsi" w:cstheme="minorHAnsi"/>
                <w:szCs w:val="24"/>
              </w:rPr>
              <w:t xml:space="preserve">Experience Conducting Fidelity-focused Evaluations </w:t>
            </w:r>
          </w:p>
          <w:p w14:paraId="330528EE" w14:textId="77777777" w:rsidR="001255FA" w:rsidRPr="00276F78" w:rsidRDefault="001255FA" w:rsidP="00276F78">
            <w:pPr>
              <w:rPr>
                <w:rFonts w:asciiTheme="minorHAnsi" w:hAnsiTheme="minorHAnsi" w:cstheme="minorHAnsi"/>
                <w:szCs w:val="24"/>
              </w:rPr>
            </w:pPr>
          </w:p>
          <w:p w14:paraId="3DD24B0C" w14:textId="28DE770F" w:rsidR="00276F78" w:rsidRDefault="00276F78" w:rsidP="00276F78">
            <w:pPr>
              <w:rPr>
                <w:rFonts w:asciiTheme="minorHAnsi" w:hAnsiTheme="minorHAnsi" w:cstheme="minorHAnsi"/>
                <w:szCs w:val="24"/>
              </w:rPr>
            </w:pPr>
            <w:r w:rsidRPr="00276F78">
              <w:rPr>
                <w:rFonts w:asciiTheme="minorHAnsi" w:hAnsiTheme="minorHAnsi" w:cstheme="minorHAnsi"/>
                <w:szCs w:val="24"/>
              </w:rPr>
              <w:t xml:space="preserve">In </w:t>
            </w:r>
            <w:r w:rsidR="0029218A">
              <w:rPr>
                <w:rFonts w:asciiTheme="minorHAnsi" w:hAnsiTheme="minorHAnsi" w:cstheme="minorHAnsi"/>
                <w:szCs w:val="24"/>
              </w:rPr>
              <w:t>the majority of</w:t>
            </w:r>
            <w:r w:rsidRPr="00276F78">
              <w:rPr>
                <w:rFonts w:asciiTheme="minorHAnsi" w:hAnsiTheme="minorHAnsi" w:cstheme="minorHAnsi"/>
                <w:szCs w:val="24"/>
              </w:rPr>
              <w:t xml:space="preserve"> our grant program evaluations, TPMA focuses on both the implementation of the program and the extent to which the program implementation is aligned to the program model outlined in the grant. By focusing on fidelity to the model, the evaluation </w:t>
            </w:r>
            <w:r w:rsidR="00803BF5">
              <w:rPr>
                <w:rFonts w:asciiTheme="minorHAnsi" w:hAnsiTheme="minorHAnsi" w:cstheme="minorHAnsi"/>
                <w:szCs w:val="24"/>
              </w:rPr>
              <w:t>can identify</w:t>
            </w:r>
            <w:r w:rsidRPr="00276F78">
              <w:rPr>
                <w:rFonts w:asciiTheme="minorHAnsi" w:hAnsiTheme="minorHAnsi" w:cstheme="minorHAnsi"/>
                <w:szCs w:val="24"/>
              </w:rPr>
              <w:t xml:space="preserve"> </w:t>
            </w:r>
            <w:r w:rsidR="00803BF5">
              <w:rPr>
                <w:rFonts w:asciiTheme="minorHAnsi" w:hAnsiTheme="minorHAnsi" w:cstheme="minorHAnsi"/>
                <w:szCs w:val="24"/>
              </w:rPr>
              <w:t>“</w:t>
            </w:r>
            <w:r w:rsidRPr="00276F78">
              <w:rPr>
                <w:rFonts w:asciiTheme="minorHAnsi" w:hAnsiTheme="minorHAnsi" w:cstheme="minorHAnsi"/>
                <w:szCs w:val="24"/>
              </w:rPr>
              <w:t>how and why</w:t>
            </w:r>
            <w:r w:rsidR="00803BF5">
              <w:rPr>
                <w:rFonts w:asciiTheme="minorHAnsi" w:hAnsiTheme="minorHAnsi" w:cstheme="minorHAnsi"/>
                <w:szCs w:val="24"/>
              </w:rPr>
              <w:t>”</w:t>
            </w:r>
            <w:r w:rsidRPr="00276F78">
              <w:rPr>
                <w:rFonts w:asciiTheme="minorHAnsi" w:hAnsiTheme="minorHAnsi" w:cstheme="minorHAnsi"/>
                <w:szCs w:val="24"/>
              </w:rPr>
              <w:t xml:space="preserve"> changes to the model occur, and the extent to which those changes in implementation may affect program outcomes. </w:t>
            </w:r>
          </w:p>
          <w:p w14:paraId="65A82ED9" w14:textId="77777777" w:rsidR="001255FA" w:rsidRPr="00276F78" w:rsidRDefault="001255FA" w:rsidP="00276F78">
            <w:pPr>
              <w:rPr>
                <w:rFonts w:asciiTheme="minorHAnsi" w:hAnsiTheme="minorHAnsi" w:cstheme="minorHAnsi"/>
                <w:szCs w:val="24"/>
              </w:rPr>
            </w:pPr>
          </w:p>
          <w:p w14:paraId="4795CE1F" w14:textId="2B3E3BC9" w:rsidR="00276F78" w:rsidRDefault="00276F78" w:rsidP="00276F78">
            <w:pPr>
              <w:rPr>
                <w:rFonts w:asciiTheme="minorHAnsi" w:hAnsiTheme="minorHAnsi" w:cstheme="minorHAnsi"/>
                <w:szCs w:val="24"/>
              </w:rPr>
            </w:pPr>
            <w:r w:rsidRPr="00276F78">
              <w:rPr>
                <w:rFonts w:asciiTheme="minorHAnsi" w:hAnsiTheme="minorHAnsi" w:cstheme="minorHAnsi"/>
                <w:szCs w:val="24"/>
              </w:rPr>
              <w:t xml:space="preserve">For example, TPMA </w:t>
            </w:r>
            <w:r w:rsidR="00A6563D">
              <w:rPr>
                <w:rFonts w:asciiTheme="minorHAnsi" w:hAnsiTheme="minorHAnsi" w:cstheme="minorHAnsi"/>
                <w:szCs w:val="24"/>
              </w:rPr>
              <w:t>conducted</w:t>
            </w:r>
            <w:r w:rsidRPr="00276F78">
              <w:rPr>
                <w:rFonts w:asciiTheme="minorHAnsi" w:hAnsiTheme="minorHAnsi" w:cstheme="minorHAnsi"/>
                <w:szCs w:val="24"/>
              </w:rPr>
              <w:t xml:space="preserve"> a four-year evaluation of IPS’ Counseling initiative, focused on district wide reports targeted at improving students social and emotional supports and ultimately, academic success. Through their grant from the Lilly Endowment, IPS </w:t>
            </w:r>
            <w:r w:rsidR="00A6563D">
              <w:rPr>
                <w:rFonts w:asciiTheme="minorHAnsi" w:hAnsiTheme="minorHAnsi" w:cstheme="minorHAnsi"/>
                <w:szCs w:val="24"/>
              </w:rPr>
              <w:t>implemented</w:t>
            </w:r>
            <w:r w:rsidRPr="00276F78">
              <w:rPr>
                <w:rFonts w:asciiTheme="minorHAnsi" w:hAnsiTheme="minorHAnsi" w:cstheme="minorHAnsi"/>
                <w:szCs w:val="24"/>
              </w:rPr>
              <w:t xml:space="preserve"> social/emotional curriculum in all elementary schools, and created new physical spaces, Future Centers, in each of the high schools to support post-secondary success for students. TPMA </w:t>
            </w:r>
            <w:r w:rsidR="008F12D9">
              <w:rPr>
                <w:rFonts w:asciiTheme="minorHAnsi" w:hAnsiTheme="minorHAnsi" w:cstheme="minorHAnsi"/>
                <w:szCs w:val="24"/>
              </w:rPr>
              <w:t>conducted</w:t>
            </w:r>
            <w:r w:rsidRPr="00276F78">
              <w:rPr>
                <w:rFonts w:asciiTheme="minorHAnsi" w:hAnsiTheme="minorHAnsi" w:cstheme="minorHAnsi"/>
                <w:szCs w:val="24"/>
              </w:rPr>
              <w:t xml:space="preserve"> both qualitative and quantitative data from students, teachers, building leaders, and district staff involved in the initiative. The social/emotional curriculum </w:t>
            </w:r>
            <w:r w:rsidR="008F12D9">
              <w:rPr>
                <w:rFonts w:asciiTheme="minorHAnsi" w:hAnsiTheme="minorHAnsi" w:cstheme="minorHAnsi"/>
                <w:szCs w:val="24"/>
              </w:rPr>
              <w:t>was</w:t>
            </w:r>
            <w:r w:rsidRPr="00276F78">
              <w:rPr>
                <w:rFonts w:asciiTheme="minorHAnsi" w:hAnsiTheme="minorHAnsi" w:cstheme="minorHAnsi"/>
                <w:szCs w:val="24"/>
              </w:rPr>
              <w:t xml:space="preserve"> implemented in </w:t>
            </w:r>
            <w:r w:rsidR="00287EEA" w:rsidRPr="00276F78">
              <w:rPr>
                <w:rFonts w:asciiTheme="minorHAnsi" w:hAnsiTheme="minorHAnsi" w:cstheme="minorHAnsi"/>
                <w:szCs w:val="24"/>
              </w:rPr>
              <w:t>diverse ways</w:t>
            </w:r>
            <w:r w:rsidRPr="00276F78">
              <w:rPr>
                <w:rFonts w:asciiTheme="minorHAnsi" w:hAnsiTheme="minorHAnsi" w:cstheme="minorHAnsi"/>
                <w:szCs w:val="24"/>
              </w:rPr>
              <w:t xml:space="preserve"> in different buildings throughout the district, and the Future Centers in each high school </w:t>
            </w:r>
            <w:r w:rsidR="00936802">
              <w:rPr>
                <w:rFonts w:asciiTheme="minorHAnsi" w:hAnsiTheme="minorHAnsi" w:cstheme="minorHAnsi"/>
                <w:szCs w:val="24"/>
              </w:rPr>
              <w:t xml:space="preserve">each adopted </w:t>
            </w:r>
            <w:r w:rsidRPr="00276F78">
              <w:rPr>
                <w:rFonts w:asciiTheme="minorHAnsi" w:hAnsiTheme="minorHAnsi" w:cstheme="minorHAnsi"/>
                <w:szCs w:val="24"/>
              </w:rPr>
              <w:t>their own unique programming based on the needs of their students</w:t>
            </w:r>
            <w:r w:rsidR="004053F0">
              <w:rPr>
                <w:rFonts w:asciiTheme="minorHAnsi" w:hAnsiTheme="minorHAnsi" w:cstheme="minorHAnsi"/>
                <w:szCs w:val="24"/>
              </w:rPr>
              <w:t>,</w:t>
            </w:r>
            <w:r w:rsidRPr="00276F78">
              <w:rPr>
                <w:rFonts w:asciiTheme="minorHAnsi" w:hAnsiTheme="minorHAnsi" w:cstheme="minorHAnsi"/>
                <w:szCs w:val="24"/>
              </w:rPr>
              <w:t xml:space="preserve"> and the partners who are supporting the efforts. TPMA track</w:t>
            </w:r>
            <w:r w:rsidR="004053F0">
              <w:rPr>
                <w:rFonts w:asciiTheme="minorHAnsi" w:hAnsiTheme="minorHAnsi" w:cstheme="minorHAnsi"/>
                <w:szCs w:val="24"/>
              </w:rPr>
              <w:t>ed</w:t>
            </w:r>
            <w:r w:rsidRPr="00276F78">
              <w:rPr>
                <w:rFonts w:asciiTheme="minorHAnsi" w:hAnsiTheme="minorHAnsi" w:cstheme="minorHAnsi"/>
                <w:szCs w:val="24"/>
              </w:rPr>
              <w:t xml:space="preserve"> the implementation of the grant initiative, as outlined in the grant narrative, and the ways in which the initiatives </w:t>
            </w:r>
            <w:r w:rsidR="004053F0">
              <w:rPr>
                <w:rFonts w:asciiTheme="minorHAnsi" w:hAnsiTheme="minorHAnsi" w:cstheme="minorHAnsi"/>
                <w:szCs w:val="24"/>
              </w:rPr>
              <w:t>were</w:t>
            </w:r>
            <w:r w:rsidRPr="00276F78">
              <w:rPr>
                <w:rFonts w:asciiTheme="minorHAnsi" w:hAnsiTheme="minorHAnsi" w:cstheme="minorHAnsi"/>
                <w:szCs w:val="24"/>
              </w:rPr>
              <w:t xml:space="preserve"> utilized across the district. </w:t>
            </w:r>
          </w:p>
          <w:p w14:paraId="422AF3AC" w14:textId="77777777" w:rsidR="00E14AED" w:rsidRPr="00276F78" w:rsidRDefault="00E14AED" w:rsidP="00276F78">
            <w:pPr>
              <w:rPr>
                <w:rFonts w:asciiTheme="minorHAnsi" w:hAnsiTheme="minorHAnsi" w:cstheme="minorHAnsi"/>
                <w:szCs w:val="24"/>
              </w:rPr>
            </w:pPr>
          </w:p>
          <w:p w14:paraId="59114F08" w14:textId="320C137A" w:rsidR="00276F78" w:rsidRPr="00276F78" w:rsidRDefault="00276F78" w:rsidP="00276F78">
            <w:pPr>
              <w:rPr>
                <w:rFonts w:asciiTheme="minorHAnsi" w:hAnsiTheme="minorHAnsi" w:cstheme="minorHAnsi"/>
                <w:szCs w:val="24"/>
              </w:rPr>
            </w:pPr>
            <w:r w:rsidRPr="00276F78">
              <w:rPr>
                <w:rFonts w:asciiTheme="minorHAnsi" w:hAnsiTheme="minorHAnsi" w:cstheme="minorHAnsi"/>
                <w:szCs w:val="24"/>
              </w:rPr>
              <w:t xml:space="preserve">Likewise, TPMA recently completed an evaluation of the Training for Manufactured Construction (TRAMCON) Consortium’s TAACCCT grant, which was implemented at a consortium of four community colleges across the state of Florida (Miami Dade College, Polk State College, Santa Fe College, Seminole State College). The TRAMCON program was designed to provide participants with a foundation of skills in the manufactured construction industry </w:t>
            </w:r>
            <w:r w:rsidR="0022305D" w:rsidRPr="00276F78">
              <w:rPr>
                <w:rFonts w:asciiTheme="minorHAnsi" w:hAnsiTheme="minorHAnsi" w:cstheme="minorHAnsi"/>
                <w:szCs w:val="24"/>
              </w:rPr>
              <w:t>to</w:t>
            </w:r>
            <w:r w:rsidRPr="00276F78">
              <w:rPr>
                <w:rFonts w:asciiTheme="minorHAnsi" w:hAnsiTheme="minorHAnsi" w:cstheme="minorHAnsi"/>
                <w:szCs w:val="24"/>
              </w:rPr>
              <w:t xml:space="preserve"> increase participant </w:t>
            </w:r>
            <w:r w:rsidR="0022498A" w:rsidRPr="00276F78">
              <w:rPr>
                <w:rFonts w:asciiTheme="minorHAnsi" w:hAnsiTheme="minorHAnsi" w:cstheme="minorHAnsi"/>
                <w:szCs w:val="24"/>
              </w:rPr>
              <w:t>wages</w:t>
            </w:r>
            <w:r w:rsidRPr="00276F78">
              <w:rPr>
                <w:rFonts w:asciiTheme="minorHAnsi" w:hAnsiTheme="minorHAnsi" w:cstheme="minorHAnsi"/>
                <w:szCs w:val="24"/>
              </w:rPr>
              <w:t xml:space="preserve"> and employment outcomes. Grant staff at each college modified the curriculum and program structure to best meet local needs, which required TPMA to track how the program model was implemented, noting where and when changes to the program model occurred at each college, while also evaluating the consortium-level efforts. </w:t>
            </w:r>
          </w:p>
          <w:p w14:paraId="3C1A32ED" w14:textId="77777777" w:rsidR="00F13347" w:rsidRDefault="00F13347" w:rsidP="00276F78">
            <w:pPr>
              <w:rPr>
                <w:rFonts w:asciiTheme="minorHAnsi" w:hAnsiTheme="minorHAnsi" w:cstheme="minorHAnsi"/>
                <w:szCs w:val="24"/>
              </w:rPr>
            </w:pPr>
          </w:p>
          <w:p w14:paraId="26BB5F10" w14:textId="25A2A88C" w:rsidR="008B27AF" w:rsidRDefault="00F13347" w:rsidP="00F245C4">
            <w:pPr>
              <w:rPr>
                <w:rFonts w:asciiTheme="minorHAnsi" w:hAnsiTheme="minorHAnsi" w:cstheme="minorHAnsi"/>
                <w:szCs w:val="24"/>
              </w:rPr>
            </w:pPr>
            <w:r w:rsidRPr="00276F78">
              <w:rPr>
                <w:rFonts w:asciiTheme="minorHAnsi" w:hAnsiTheme="minorHAnsi" w:cstheme="minorHAnsi"/>
                <w:szCs w:val="24"/>
              </w:rPr>
              <w:t xml:space="preserve">EXPERIENCE WORKING WITH FSSA PROGRAMS </w:t>
            </w:r>
            <w:r>
              <w:rPr>
                <w:rFonts w:asciiTheme="minorHAnsi" w:hAnsiTheme="minorHAnsi" w:cstheme="minorHAnsi"/>
                <w:szCs w:val="24"/>
              </w:rPr>
              <w:t xml:space="preserve">| </w:t>
            </w:r>
            <w:r w:rsidR="00F245C4">
              <w:rPr>
                <w:rFonts w:asciiTheme="minorHAnsi" w:hAnsiTheme="minorHAnsi" w:cstheme="minorHAnsi"/>
                <w:szCs w:val="24"/>
              </w:rPr>
              <w:t xml:space="preserve">As you are likely aware, TPMA worked closely with FSSA providing this exact scope of services for the past four years. </w:t>
            </w:r>
            <w:r w:rsidR="00276F78" w:rsidRPr="00276F78">
              <w:rPr>
                <w:rFonts w:asciiTheme="minorHAnsi" w:hAnsiTheme="minorHAnsi" w:cstheme="minorHAnsi"/>
                <w:szCs w:val="24"/>
              </w:rPr>
              <w:t xml:space="preserve">TPMA </w:t>
            </w:r>
            <w:r w:rsidR="007F4C2E">
              <w:rPr>
                <w:rFonts w:asciiTheme="minorHAnsi" w:hAnsiTheme="minorHAnsi" w:cstheme="minorHAnsi"/>
                <w:szCs w:val="24"/>
              </w:rPr>
              <w:t xml:space="preserve">previously </w:t>
            </w:r>
            <w:r>
              <w:rPr>
                <w:rFonts w:asciiTheme="minorHAnsi" w:hAnsiTheme="minorHAnsi" w:cstheme="minorHAnsi"/>
                <w:szCs w:val="24"/>
              </w:rPr>
              <w:t>worked closely</w:t>
            </w:r>
            <w:r w:rsidR="0095505C">
              <w:rPr>
                <w:rFonts w:asciiTheme="minorHAnsi" w:hAnsiTheme="minorHAnsi" w:cstheme="minorHAnsi"/>
                <w:szCs w:val="24"/>
              </w:rPr>
              <w:t xml:space="preserve"> </w:t>
            </w:r>
            <w:r w:rsidR="00276F78" w:rsidRPr="00276F78">
              <w:rPr>
                <w:rFonts w:asciiTheme="minorHAnsi" w:hAnsiTheme="minorHAnsi" w:cstheme="minorHAnsi"/>
                <w:szCs w:val="24"/>
              </w:rPr>
              <w:t>with First Steps and FSSA through the evaluation of the Early Childhood Comprehensive Systems (ECCS) grant.</w:t>
            </w:r>
          </w:p>
          <w:p w14:paraId="50C0840F" w14:textId="77777777" w:rsidR="008B27AF" w:rsidRDefault="008B27AF" w:rsidP="00F245C4">
            <w:pPr>
              <w:rPr>
                <w:rFonts w:asciiTheme="minorHAnsi" w:hAnsiTheme="minorHAnsi" w:cstheme="minorHAnsi"/>
                <w:szCs w:val="24"/>
              </w:rPr>
            </w:pPr>
          </w:p>
          <w:p w14:paraId="6C478B72" w14:textId="77777777" w:rsidR="00945F48" w:rsidRDefault="00945F48" w:rsidP="00F245C4">
            <w:pPr>
              <w:rPr>
                <w:rFonts w:asciiTheme="minorHAnsi" w:hAnsiTheme="minorHAnsi" w:cstheme="minorHAnsi"/>
                <w:szCs w:val="24"/>
              </w:rPr>
            </w:pPr>
            <w:r>
              <w:rPr>
                <w:rFonts w:asciiTheme="minorHAnsi" w:hAnsiTheme="minorHAnsi" w:cstheme="minorHAnsi"/>
                <w:szCs w:val="24"/>
              </w:rPr>
              <w:t>Both of our subcontractors, Bingle Research Group and Montrell Partnerships, LLC were also subcontractors for this work with TPMA for the last four years. Our team will not require any “ramp up” time which will ultimately benefit the Division, saving both time and resources.</w:t>
            </w:r>
          </w:p>
          <w:p w14:paraId="76CA656A" w14:textId="77777777" w:rsidR="00945F48" w:rsidRDefault="00945F48" w:rsidP="00F245C4">
            <w:pPr>
              <w:rPr>
                <w:rFonts w:asciiTheme="minorHAnsi" w:hAnsiTheme="minorHAnsi" w:cstheme="minorHAnsi"/>
                <w:szCs w:val="24"/>
              </w:rPr>
            </w:pPr>
          </w:p>
          <w:p w14:paraId="6E7FBE0C" w14:textId="1CE4FF67" w:rsidR="0035528F" w:rsidRDefault="008B27AF" w:rsidP="00F245C4">
            <w:pPr>
              <w:rPr>
                <w:rFonts w:asciiTheme="minorHAnsi" w:hAnsiTheme="minorHAnsi" w:cstheme="minorHAnsi"/>
                <w:szCs w:val="24"/>
              </w:rPr>
            </w:pPr>
            <w:r>
              <w:rPr>
                <w:rFonts w:asciiTheme="minorHAnsi" w:hAnsiTheme="minorHAnsi" w:cstheme="minorHAnsi"/>
                <w:szCs w:val="24"/>
              </w:rPr>
              <w:t>Additionally</w:t>
            </w:r>
            <w:r w:rsidR="00290F56">
              <w:rPr>
                <w:rFonts w:asciiTheme="minorHAnsi" w:hAnsiTheme="minorHAnsi" w:cstheme="minorHAnsi"/>
                <w:szCs w:val="24"/>
              </w:rPr>
              <w:t>,</w:t>
            </w:r>
            <w:r w:rsidR="00877BCD">
              <w:rPr>
                <w:rFonts w:asciiTheme="minorHAnsi" w:hAnsiTheme="minorHAnsi" w:cstheme="minorHAnsi"/>
                <w:szCs w:val="24"/>
              </w:rPr>
              <w:t xml:space="preserve"> </w:t>
            </w:r>
            <w:r w:rsidR="00276F78" w:rsidRPr="00276F78">
              <w:rPr>
                <w:rFonts w:asciiTheme="minorHAnsi" w:hAnsiTheme="minorHAnsi" w:cstheme="minorHAnsi"/>
                <w:szCs w:val="24"/>
              </w:rPr>
              <w:t>Bingle Research Group</w:t>
            </w:r>
            <w:r w:rsidR="00877BCD">
              <w:rPr>
                <w:rFonts w:asciiTheme="minorHAnsi" w:hAnsiTheme="minorHAnsi" w:cstheme="minorHAnsi"/>
                <w:szCs w:val="24"/>
              </w:rPr>
              <w:t xml:space="preserve">, </w:t>
            </w:r>
            <w:r w:rsidR="00276F78" w:rsidRPr="00276F78">
              <w:rPr>
                <w:rFonts w:asciiTheme="minorHAnsi" w:hAnsiTheme="minorHAnsi" w:cstheme="minorHAnsi"/>
                <w:szCs w:val="24"/>
              </w:rPr>
              <w:t>worked with FSSA on numerous</w:t>
            </w:r>
            <w:r w:rsidR="00945F48">
              <w:rPr>
                <w:rFonts w:asciiTheme="minorHAnsi" w:hAnsiTheme="minorHAnsi" w:cstheme="minorHAnsi"/>
                <w:szCs w:val="24"/>
              </w:rPr>
              <w:t xml:space="preserve"> other</w:t>
            </w:r>
            <w:r w:rsidR="00276F78" w:rsidRPr="00276F78">
              <w:rPr>
                <w:rFonts w:asciiTheme="minorHAnsi" w:hAnsiTheme="minorHAnsi" w:cstheme="minorHAnsi"/>
                <w:szCs w:val="24"/>
              </w:rPr>
              <w:t xml:space="preserve"> occasions, including conducting a survey of Indianapolis residents about Comprehensive Addiction Recovery (Central Region) needs</w:t>
            </w:r>
            <w:r w:rsidR="009E4364">
              <w:rPr>
                <w:rFonts w:asciiTheme="minorHAnsi" w:hAnsiTheme="minorHAnsi" w:cstheme="minorHAnsi"/>
                <w:szCs w:val="24"/>
              </w:rPr>
              <w:t xml:space="preserve">, and </w:t>
            </w:r>
            <w:r w:rsidR="0035528F">
              <w:rPr>
                <w:rFonts w:asciiTheme="minorHAnsi" w:hAnsiTheme="minorHAnsi" w:cstheme="minorHAnsi"/>
                <w:szCs w:val="24"/>
              </w:rPr>
              <w:t xml:space="preserve">they also evaluated </w:t>
            </w:r>
            <w:r w:rsidR="00276F78" w:rsidRPr="00276F78">
              <w:rPr>
                <w:rFonts w:asciiTheme="minorHAnsi" w:hAnsiTheme="minorHAnsi" w:cstheme="minorHAnsi"/>
                <w:szCs w:val="24"/>
              </w:rPr>
              <w:t>school mental health and SUD programs in schools in 10 counties in Indiana as part of DMHA’s School Social Services Program.</w:t>
            </w:r>
          </w:p>
          <w:p w14:paraId="505A41F2" w14:textId="2A5C7764" w:rsidR="0035528F" w:rsidRPr="00A2550B" w:rsidRDefault="0035528F" w:rsidP="00F245C4">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5846F72E" w14:textId="0676AB44" w:rsidR="000770AE" w:rsidRPr="000770AE" w:rsidRDefault="00B8238E" w:rsidP="00B8238E">
      <w:pPr>
        <w:widowControl/>
        <w:tabs>
          <w:tab w:val="left" w:pos="360"/>
        </w:tabs>
        <w:jc w:val="both"/>
        <w:rPr>
          <w:rFonts w:asciiTheme="minorHAnsi" w:hAnsiTheme="minorHAnsi" w:cstheme="minorBidi"/>
        </w:rPr>
      </w:pPr>
      <w:r>
        <w:rPr>
          <w:rFonts w:asciiTheme="minorHAnsi" w:hAnsiTheme="minorHAnsi" w:cstheme="minorBidi"/>
          <w:b/>
          <w:bCs/>
        </w:rPr>
        <w:t xml:space="preserve">2.3.15 </w:t>
      </w:r>
      <w:r w:rsidR="00FD5220" w:rsidRPr="6A948702">
        <w:rPr>
          <w:rFonts w:asciiTheme="minorHAnsi" w:hAnsiTheme="minorHAnsi" w:cstheme="minorBidi"/>
          <w:b/>
          <w:bCs/>
        </w:rPr>
        <w:t>Indiana Preferences</w:t>
      </w:r>
      <w:r>
        <w:rPr>
          <w:rFonts w:asciiTheme="minorHAnsi" w:hAnsiTheme="minorHAnsi" w:cstheme="minorBidi"/>
          <w:b/>
          <w:bCs/>
        </w:rPr>
        <w:t xml:space="preserve"> -</w:t>
      </w:r>
      <w:r w:rsidR="00FD5220" w:rsidRPr="6A948702">
        <w:rPr>
          <w:rFonts w:asciiTheme="minorHAnsi" w:hAnsiTheme="minorHAnsi" w:cstheme="minorBidi"/>
          <w:b/>
          <w:bCs/>
        </w:rPr>
        <w:t xml:space="preserve"> </w:t>
      </w:r>
      <w:r>
        <w:rPr>
          <w:rFonts w:asciiTheme="minorHAnsi" w:hAnsiTheme="minorHAnsi" w:cstheme="minorBidi"/>
          <w:b/>
          <w:bCs/>
        </w:rPr>
        <w:t>Removed pursuant to Geographical Preference Federal Requirement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6716C48E" w:rsidR="000770AE" w:rsidRPr="00A2550B" w:rsidRDefault="00D65AC8" w:rsidP="00EA4159">
            <w:pPr>
              <w:rPr>
                <w:rFonts w:asciiTheme="minorHAnsi" w:hAnsiTheme="minorHAnsi" w:cstheme="minorHAnsi"/>
                <w:szCs w:val="24"/>
              </w:rPr>
            </w:pPr>
            <w:r>
              <w:rPr>
                <w:rFonts w:asciiTheme="minorHAnsi" w:hAnsiTheme="minorHAnsi" w:cstheme="minorHAnsi"/>
                <w:szCs w:val="24"/>
              </w:rPr>
              <w:t>N/A</w:t>
            </w:r>
          </w:p>
        </w:tc>
      </w:tr>
    </w:tbl>
    <w:p w14:paraId="27CB179A" w14:textId="35553335" w:rsidR="000770AE" w:rsidRDefault="000770AE" w:rsidP="000770AE">
      <w:pPr>
        <w:jc w:val="both"/>
        <w:rPr>
          <w:rFonts w:asciiTheme="minorHAnsi" w:hAnsiTheme="minorHAnsi" w:cstheme="minorHAnsi"/>
          <w:szCs w:val="24"/>
        </w:rPr>
      </w:pPr>
    </w:p>
    <w:p w14:paraId="2BFDE289" w14:textId="15C10EB0" w:rsidR="005A0FC8" w:rsidRPr="000770AE" w:rsidRDefault="00B8238E" w:rsidP="00B8238E">
      <w:pPr>
        <w:widowControl/>
        <w:tabs>
          <w:tab w:val="left" w:pos="360"/>
        </w:tabs>
        <w:jc w:val="both"/>
        <w:rPr>
          <w:rFonts w:asciiTheme="minorHAnsi" w:hAnsiTheme="minorHAnsi" w:cstheme="minorHAnsi"/>
          <w:szCs w:val="24"/>
        </w:rPr>
      </w:pPr>
      <w:r>
        <w:rPr>
          <w:rFonts w:asciiTheme="minorHAnsi" w:hAnsiTheme="minorHAnsi" w:cstheme="minorHAnsi"/>
          <w:b/>
          <w:szCs w:val="24"/>
        </w:rPr>
        <w:t>2.3.16</w:t>
      </w:r>
      <w:r w:rsidR="00FD5220" w:rsidRPr="000770AE">
        <w:rPr>
          <w:rFonts w:asciiTheme="minorHAnsi" w:hAnsiTheme="minorHAnsi" w:cstheme="minorHAnsi"/>
          <w:b/>
          <w:szCs w:val="24"/>
        </w:rPr>
        <w:t xml:space="preserve">Payment </w:t>
      </w:r>
      <w:r>
        <w:rPr>
          <w:rFonts w:asciiTheme="minorHAnsi" w:hAnsiTheme="minorHAnsi" w:cstheme="minorHAnsi"/>
          <w:b/>
          <w:szCs w:val="24"/>
        </w:rPr>
        <w:t>–</w:t>
      </w:r>
      <w:r w:rsidR="00FD5220" w:rsidRPr="000770AE">
        <w:rPr>
          <w:rFonts w:asciiTheme="minorHAnsi" w:hAnsiTheme="minorHAnsi" w:cstheme="minorHAnsi"/>
          <w:b/>
          <w:szCs w:val="24"/>
        </w:rPr>
        <w:t xml:space="preserve"> </w:t>
      </w:r>
      <w:r>
        <w:rPr>
          <w:rFonts w:asciiTheme="minorHAnsi" w:hAnsiTheme="minorHAnsi" w:cstheme="minorHAnsi"/>
          <w:b/>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5395587D" w:rsidR="00F655C2" w:rsidRPr="00A2550B" w:rsidRDefault="00D65AC8" w:rsidP="004009A6">
            <w:pPr>
              <w:rPr>
                <w:rFonts w:asciiTheme="minorHAnsi" w:hAnsiTheme="minorHAnsi" w:cstheme="minorHAnsi"/>
                <w:szCs w:val="24"/>
              </w:rPr>
            </w:pPr>
            <w:r>
              <w:rPr>
                <w:rFonts w:asciiTheme="minorHAnsi" w:hAnsiTheme="minorHAnsi" w:cstheme="minorHAnsi"/>
                <w:szCs w:val="24"/>
              </w:rPr>
              <w:t>N/A</w:t>
            </w:r>
          </w:p>
        </w:tc>
      </w:tr>
    </w:tbl>
    <w:p w14:paraId="71405DB1" w14:textId="6A8F3488" w:rsidR="00F655C2" w:rsidRDefault="00F655C2" w:rsidP="00AF696A">
      <w:pPr>
        <w:widowControl/>
        <w:jc w:val="both"/>
        <w:rPr>
          <w:rFonts w:ascii="Garamond" w:hAnsi="Garamond"/>
          <w:szCs w:val="24"/>
        </w:rPr>
      </w:pPr>
    </w:p>
    <w:p w14:paraId="35334CBB" w14:textId="6FBBBCAE" w:rsidR="000770AE" w:rsidRPr="00B66829" w:rsidRDefault="00B8238E" w:rsidP="00B8238E">
      <w:pPr>
        <w:widowControl/>
        <w:jc w:val="both"/>
        <w:rPr>
          <w:rFonts w:asciiTheme="minorHAnsi" w:hAnsiTheme="minorHAnsi" w:cstheme="minorHAnsi"/>
          <w:bCs/>
          <w:szCs w:val="24"/>
        </w:rPr>
      </w:pPr>
      <w:r>
        <w:rPr>
          <w:rFonts w:asciiTheme="minorHAnsi" w:hAnsiTheme="minorHAnsi" w:cstheme="minorHAnsi"/>
          <w:b/>
          <w:szCs w:val="24"/>
        </w:rPr>
        <w:t>2.3.17</w:t>
      </w:r>
      <w:r w:rsidR="000770AE" w:rsidRPr="00B66829">
        <w:rPr>
          <w:rFonts w:asciiTheme="minorHAnsi" w:hAnsiTheme="minorHAnsi" w:cstheme="minorHAnsi"/>
          <w:b/>
          <w:szCs w:val="24"/>
        </w:rPr>
        <w:t>Extending Pricing to Other Governmental Bodies</w:t>
      </w:r>
      <w:r w:rsidR="000770AE"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000770AE"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E719950">
        <w:tc>
          <w:tcPr>
            <w:tcW w:w="8856" w:type="dxa"/>
            <w:shd w:val="clear" w:color="auto" w:fill="FFFF99"/>
          </w:tcPr>
          <w:p w14:paraId="0C138212" w14:textId="270A3D41" w:rsidR="000770AE" w:rsidRPr="00A2550B" w:rsidRDefault="25E20BA3" w:rsidP="0E719950">
            <w:pPr>
              <w:rPr>
                <w:rFonts w:asciiTheme="minorHAnsi" w:hAnsiTheme="minorHAnsi" w:cstheme="minorBidi"/>
              </w:rPr>
            </w:pPr>
            <w:r w:rsidRPr="0E719950">
              <w:rPr>
                <w:rFonts w:asciiTheme="minorHAnsi" w:hAnsiTheme="minorHAnsi" w:cstheme="minorBidi"/>
              </w:rPr>
              <w:t>TPMA is willing to extend these prices and services to other governmental bodies.</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2A2517"/>
    <w:multiLevelType w:val="hybridMultilevel"/>
    <w:tmpl w:val="E9E0C40E"/>
    <w:lvl w:ilvl="0" w:tplc="BED2004C">
      <w:start w:val="1"/>
      <w:numFmt w:val="bullet"/>
      <w:lvlText w:val=""/>
      <w:lvlJc w:val="left"/>
      <w:pPr>
        <w:ind w:left="720" w:hanging="360"/>
      </w:pPr>
      <w:rPr>
        <w:rFonts w:ascii="Symbol" w:hAnsi="Symbol" w:hint="default"/>
      </w:rPr>
    </w:lvl>
    <w:lvl w:ilvl="1" w:tplc="B71887AC">
      <w:start w:val="1"/>
      <w:numFmt w:val="bullet"/>
      <w:lvlText w:val="o"/>
      <w:lvlJc w:val="left"/>
      <w:pPr>
        <w:ind w:left="1440" w:hanging="360"/>
      </w:pPr>
      <w:rPr>
        <w:rFonts w:ascii="Courier New" w:hAnsi="Courier New" w:hint="default"/>
      </w:rPr>
    </w:lvl>
    <w:lvl w:ilvl="2" w:tplc="7AE4EC18">
      <w:start w:val="1"/>
      <w:numFmt w:val="bullet"/>
      <w:lvlText w:val=""/>
      <w:lvlJc w:val="left"/>
      <w:pPr>
        <w:ind w:left="2160" w:hanging="360"/>
      </w:pPr>
      <w:rPr>
        <w:rFonts w:ascii="Wingdings" w:hAnsi="Wingdings" w:hint="default"/>
      </w:rPr>
    </w:lvl>
    <w:lvl w:ilvl="3" w:tplc="19AAE4D4">
      <w:start w:val="1"/>
      <w:numFmt w:val="bullet"/>
      <w:lvlText w:val=""/>
      <w:lvlJc w:val="left"/>
      <w:pPr>
        <w:ind w:left="2880" w:hanging="360"/>
      </w:pPr>
      <w:rPr>
        <w:rFonts w:ascii="Symbol" w:hAnsi="Symbol" w:hint="default"/>
      </w:rPr>
    </w:lvl>
    <w:lvl w:ilvl="4" w:tplc="1F544BE2">
      <w:start w:val="1"/>
      <w:numFmt w:val="bullet"/>
      <w:lvlText w:val="o"/>
      <w:lvlJc w:val="left"/>
      <w:pPr>
        <w:ind w:left="3600" w:hanging="360"/>
      </w:pPr>
      <w:rPr>
        <w:rFonts w:ascii="Courier New" w:hAnsi="Courier New" w:hint="default"/>
      </w:rPr>
    </w:lvl>
    <w:lvl w:ilvl="5" w:tplc="9380324A">
      <w:start w:val="1"/>
      <w:numFmt w:val="bullet"/>
      <w:lvlText w:val=""/>
      <w:lvlJc w:val="left"/>
      <w:pPr>
        <w:ind w:left="4320" w:hanging="360"/>
      </w:pPr>
      <w:rPr>
        <w:rFonts w:ascii="Wingdings" w:hAnsi="Wingdings" w:hint="default"/>
      </w:rPr>
    </w:lvl>
    <w:lvl w:ilvl="6" w:tplc="9C4A6F36">
      <w:start w:val="1"/>
      <w:numFmt w:val="bullet"/>
      <w:lvlText w:val=""/>
      <w:lvlJc w:val="left"/>
      <w:pPr>
        <w:ind w:left="5040" w:hanging="360"/>
      </w:pPr>
      <w:rPr>
        <w:rFonts w:ascii="Symbol" w:hAnsi="Symbol" w:hint="default"/>
      </w:rPr>
    </w:lvl>
    <w:lvl w:ilvl="7" w:tplc="FCD28B3C">
      <w:start w:val="1"/>
      <w:numFmt w:val="bullet"/>
      <w:lvlText w:val="o"/>
      <w:lvlJc w:val="left"/>
      <w:pPr>
        <w:ind w:left="5760" w:hanging="360"/>
      </w:pPr>
      <w:rPr>
        <w:rFonts w:ascii="Courier New" w:hAnsi="Courier New" w:hint="default"/>
      </w:rPr>
    </w:lvl>
    <w:lvl w:ilvl="8" w:tplc="E58E2B46">
      <w:start w:val="1"/>
      <w:numFmt w:val="bullet"/>
      <w:lvlText w:val=""/>
      <w:lvlJc w:val="left"/>
      <w:pPr>
        <w:ind w:left="6480" w:hanging="360"/>
      </w:pPr>
      <w:rPr>
        <w:rFonts w:ascii="Wingdings" w:hAnsi="Wingdings" w:hint="default"/>
      </w:rPr>
    </w:lvl>
  </w:abstractNum>
  <w:abstractNum w:abstractNumId="5" w15:restartNumberingAfterBreak="0">
    <w:nsid w:val="238A1456"/>
    <w:multiLevelType w:val="hybridMultilevel"/>
    <w:tmpl w:val="9A9E3220"/>
    <w:lvl w:ilvl="0" w:tplc="610C6F3E">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BF87916"/>
    <w:multiLevelType w:val="hybridMultilevel"/>
    <w:tmpl w:val="1488134A"/>
    <w:lvl w:ilvl="0" w:tplc="610C6F3E">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41A25307"/>
    <w:multiLevelType w:val="hybridMultilevel"/>
    <w:tmpl w:val="8678436E"/>
    <w:lvl w:ilvl="0" w:tplc="40C4FFC4">
      <w:start w:val="1"/>
      <w:numFmt w:val="bullet"/>
      <w:lvlText w:val=""/>
      <w:lvlJc w:val="left"/>
      <w:pPr>
        <w:ind w:left="720" w:hanging="360"/>
      </w:pPr>
      <w:rPr>
        <w:rFonts w:ascii="Symbol" w:hAnsi="Symbol" w:hint="default"/>
      </w:rPr>
    </w:lvl>
    <w:lvl w:ilvl="1" w:tplc="934AEFF0">
      <w:start w:val="1"/>
      <w:numFmt w:val="bullet"/>
      <w:lvlText w:val="o"/>
      <w:lvlJc w:val="left"/>
      <w:pPr>
        <w:ind w:left="1440" w:hanging="360"/>
      </w:pPr>
      <w:rPr>
        <w:rFonts w:ascii="Courier New" w:hAnsi="Courier New" w:hint="default"/>
      </w:rPr>
    </w:lvl>
    <w:lvl w:ilvl="2" w:tplc="4908492C">
      <w:start w:val="1"/>
      <w:numFmt w:val="bullet"/>
      <w:lvlText w:val=""/>
      <w:lvlJc w:val="left"/>
      <w:pPr>
        <w:ind w:left="2160" w:hanging="360"/>
      </w:pPr>
      <w:rPr>
        <w:rFonts w:ascii="Wingdings" w:hAnsi="Wingdings" w:hint="default"/>
      </w:rPr>
    </w:lvl>
    <w:lvl w:ilvl="3" w:tplc="9B98B34C">
      <w:start w:val="1"/>
      <w:numFmt w:val="bullet"/>
      <w:lvlText w:val=""/>
      <w:lvlJc w:val="left"/>
      <w:pPr>
        <w:ind w:left="2880" w:hanging="360"/>
      </w:pPr>
      <w:rPr>
        <w:rFonts w:ascii="Symbol" w:hAnsi="Symbol" w:hint="default"/>
      </w:rPr>
    </w:lvl>
    <w:lvl w:ilvl="4" w:tplc="EA4284B8">
      <w:start w:val="1"/>
      <w:numFmt w:val="bullet"/>
      <w:lvlText w:val="o"/>
      <w:lvlJc w:val="left"/>
      <w:pPr>
        <w:ind w:left="3600" w:hanging="360"/>
      </w:pPr>
      <w:rPr>
        <w:rFonts w:ascii="Courier New" w:hAnsi="Courier New" w:hint="default"/>
      </w:rPr>
    </w:lvl>
    <w:lvl w:ilvl="5" w:tplc="126865F2">
      <w:start w:val="1"/>
      <w:numFmt w:val="bullet"/>
      <w:lvlText w:val=""/>
      <w:lvlJc w:val="left"/>
      <w:pPr>
        <w:ind w:left="4320" w:hanging="360"/>
      </w:pPr>
      <w:rPr>
        <w:rFonts w:ascii="Wingdings" w:hAnsi="Wingdings" w:hint="default"/>
      </w:rPr>
    </w:lvl>
    <w:lvl w:ilvl="6" w:tplc="582E3EF6">
      <w:start w:val="1"/>
      <w:numFmt w:val="bullet"/>
      <w:lvlText w:val=""/>
      <w:lvlJc w:val="left"/>
      <w:pPr>
        <w:ind w:left="5040" w:hanging="360"/>
      </w:pPr>
      <w:rPr>
        <w:rFonts w:ascii="Symbol" w:hAnsi="Symbol" w:hint="default"/>
      </w:rPr>
    </w:lvl>
    <w:lvl w:ilvl="7" w:tplc="B770FD48">
      <w:start w:val="1"/>
      <w:numFmt w:val="bullet"/>
      <w:lvlText w:val="o"/>
      <w:lvlJc w:val="left"/>
      <w:pPr>
        <w:ind w:left="5760" w:hanging="360"/>
      </w:pPr>
      <w:rPr>
        <w:rFonts w:ascii="Courier New" w:hAnsi="Courier New" w:hint="default"/>
      </w:rPr>
    </w:lvl>
    <w:lvl w:ilvl="8" w:tplc="4824E00A">
      <w:start w:val="1"/>
      <w:numFmt w:val="bullet"/>
      <w:lvlText w:val=""/>
      <w:lvlJc w:val="left"/>
      <w:pPr>
        <w:ind w:left="6480" w:hanging="360"/>
      </w:pPr>
      <w:rPr>
        <w:rFonts w:ascii="Wingdings" w:hAnsi="Wingdings" w:hint="default"/>
      </w:rPr>
    </w:lvl>
  </w:abstractNum>
  <w:abstractNum w:abstractNumId="11"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2"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0F249BF"/>
    <w:multiLevelType w:val="hybridMultilevel"/>
    <w:tmpl w:val="7F382DB2"/>
    <w:lvl w:ilvl="0" w:tplc="92B6BA7A">
      <w:start w:val="1"/>
      <w:numFmt w:val="bullet"/>
      <w:lvlText w:val=""/>
      <w:lvlJc w:val="left"/>
      <w:pPr>
        <w:ind w:left="720" w:hanging="360"/>
      </w:pPr>
      <w:rPr>
        <w:rFonts w:ascii="Symbol" w:hAnsi="Symbol" w:hint="default"/>
      </w:rPr>
    </w:lvl>
    <w:lvl w:ilvl="1" w:tplc="63B0AE2E">
      <w:start w:val="1"/>
      <w:numFmt w:val="bullet"/>
      <w:lvlText w:val="o"/>
      <w:lvlJc w:val="left"/>
      <w:pPr>
        <w:ind w:left="1440" w:hanging="360"/>
      </w:pPr>
      <w:rPr>
        <w:rFonts w:ascii="Courier New" w:hAnsi="Courier New" w:hint="default"/>
      </w:rPr>
    </w:lvl>
    <w:lvl w:ilvl="2" w:tplc="AD92619A">
      <w:start w:val="1"/>
      <w:numFmt w:val="bullet"/>
      <w:lvlText w:val=""/>
      <w:lvlJc w:val="left"/>
      <w:pPr>
        <w:ind w:left="2160" w:hanging="360"/>
      </w:pPr>
      <w:rPr>
        <w:rFonts w:ascii="Wingdings" w:hAnsi="Wingdings" w:hint="default"/>
      </w:rPr>
    </w:lvl>
    <w:lvl w:ilvl="3" w:tplc="D8FA9920">
      <w:start w:val="1"/>
      <w:numFmt w:val="bullet"/>
      <w:lvlText w:val=""/>
      <w:lvlJc w:val="left"/>
      <w:pPr>
        <w:ind w:left="2880" w:hanging="360"/>
      </w:pPr>
      <w:rPr>
        <w:rFonts w:ascii="Symbol" w:hAnsi="Symbol" w:hint="default"/>
      </w:rPr>
    </w:lvl>
    <w:lvl w:ilvl="4" w:tplc="E25A4638">
      <w:start w:val="1"/>
      <w:numFmt w:val="bullet"/>
      <w:lvlText w:val="o"/>
      <w:lvlJc w:val="left"/>
      <w:pPr>
        <w:ind w:left="3600" w:hanging="360"/>
      </w:pPr>
      <w:rPr>
        <w:rFonts w:ascii="Courier New" w:hAnsi="Courier New" w:hint="default"/>
      </w:rPr>
    </w:lvl>
    <w:lvl w:ilvl="5" w:tplc="68167D50">
      <w:start w:val="1"/>
      <w:numFmt w:val="bullet"/>
      <w:lvlText w:val=""/>
      <w:lvlJc w:val="left"/>
      <w:pPr>
        <w:ind w:left="4320" w:hanging="360"/>
      </w:pPr>
      <w:rPr>
        <w:rFonts w:ascii="Wingdings" w:hAnsi="Wingdings" w:hint="default"/>
      </w:rPr>
    </w:lvl>
    <w:lvl w:ilvl="6" w:tplc="01E2B070">
      <w:start w:val="1"/>
      <w:numFmt w:val="bullet"/>
      <w:lvlText w:val=""/>
      <w:lvlJc w:val="left"/>
      <w:pPr>
        <w:ind w:left="5040" w:hanging="360"/>
      </w:pPr>
      <w:rPr>
        <w:rFonts w:ascii="Symbol" w:hAnsi="Symbol" w:hint="default"/>
      </w:rPr>
    </w:lvl>
    <w:lvl w:ilvl="7" w:tplc="3A1227C4">
      <w:start w:val="1"/>
      <w:numFmt w:val="bullet"/>
      <w:lvlText w:val="o"/>
      <w:lvlJc w:val="left"/>
      <w:pPr>
        <w:ind w:left="5760" w:hanging="360"/>
      </w:pPr>
      <w:rPr>
        <w:rFonts w:ascii="Courier New" w:hAnsi="Courier New" w:hint="default"/>
      </w:rPr>
    </w:lvl>
    <w:lvl w:ilvl="8" w:tplc="0950817C">
      <w:start w:val="1"/>
      <w:numFmt w:val="bullet"/>
      <w:lvlText w:val=""/>
      <w:lvlJc w:val="left"/>
      <w:pPr>
        <w:ind w:left="6480" w:hanging="360"/>
      </w:pPr>
      <w:rPr>
        <w:rFonts w:ascii="Wingdings" w:hAnsi="Wingdings" w:hint="default"/>
      </w:rPr>
    </w:lvl>
  </w:abstractNum>
  <w:abstractNum w:abstractNumId="15" w15:restartNumberingAfterBreak="0">
    <w:nsid w:val="51683D75"/>
    <w:multiLevelType w:val="multilevel"/>
    <w:tmpl w:val="F70AF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3" w15:restartNumberingAfterBreak="0">
    <w:nsid w:val="68803945"/>
    <w:multiLevelType w:val="multilevel"/>
    <w:tmpl w:val="9AB82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E016E06"/>
    <w:multiLevelType w:val="hybridMultilevel"/>
    <w:tmpl w:val="75548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714D6889"/>
    <w:multiLevelType w:val="hybridMultilevel"/>
    <w:tmpl w:val="4E50D688"/>
    <w:lvl w:ilvl="0" w:tplc="610C6F3E">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2B77D7"/>
    <w:multiLevelType w:val="hybridMultilevel"/>
    <w:tmpl w:val="2E9A2E8A"/>
    <w:lvl w:ilvl="0" w:tplc="C17A14C8">
      <w:start w:val="1"/>
      <w:numFmt w:val="bullet"/>
      <w:lvlText w:val=""/>
      <w:lvlJc w:val="left"/>
      <w:pPr>
        <w:ind w:left="720" w:hanging="360"/>
      </w:pPr>
      <w:rPr>
        <w:rFonts w:ascii="Symbol" w:hAnsi="Symbol" w:hint="default"/>
      </w:rPr>
    </w:lvl>
    <w:lvl w:ilvl="1" w:tplc="79261EB6">
      <w:start w:val="1"/>
      <w:numFmt w:val="bullet"/>
      <w:lvlText w:val="o"/>
      <w:lvlJc w:val="left"/>
      <w:pPr>
        <w:ind w:left="1440" w:hanging="360"/>
      </w:pPr>
      <w:rPr>
        <w:rFonts w:ascii="Courier New" w:hAnsi="Courier New" w:hint="default"/>
      </w:rPr>
    </w:lvl>
    <w:lvl w:ilvl="2" w:tplc="A6C0845A">
      <w:start w:val="1"/>
      <w:numFmt w:val="bullet"/>
      <w:lvlText w:val=""/>
      <w:lvlJc w:val="left"/>
      <w:pPr>
        <w:ind w:left="2160" w:hanging="360"/>
      </w:pPr>
      <w:rPr>
        <w:rFonts w:ascii="Wingdings" w:hAnsi="Wingdings" w:hint="default"/>
      </w:rPr>
    </w:lvl>
    <w:lvl w:ilvl="3" w:tplc="05FE4E7C">
      <w:start w:val="1"/>
      <w:numFmt w:val="bullet"/>
      <w:lvlText w:val=""/>
      <w:lvlJc w:val="left"/>
      <w:pPr>
        <w:ind w:left="2880" w:hanging="360"/>
      </w:pPr>
      <w:rPr>
        <w:rFonts w:ascii="Symbol" w:hAnsi="Symbol" w:hint="default"/>
      </w:rPr>
    </w:lvl>
    <w:lvl w:ilvl="4" w:tplc="80ACA63E">
      <w:start w:val="1"/>
      <w:numFmt w:val="bullet"/>
      <w:lvlText w:val="o"/>
      <w:lvlJc w:val="left"/>
      <w:pPr>
        <w:ind w:left="3600" w:hanging="360"/>
      </w:pPr>
      <w:rPr>
        <w:rFonts w:ascii="Courier New" w:hAnsi="Courier New" w:hint="default"/>
      </w:rPr>
    </w:lvl>
    <w:lvl w:ilvl="5" w:tplc="135ACE52">
      <w:start w:val="1"/>
      <w:numFmt w:val="bullet"/>
      <w:lvlText w:val=""/>
      <w:lvlJc w:val="left"/>
      <w:pPr>
        <w:ind w:left="4320" w:hanging="360"/>
      </w:pPr>
      <w:rPr>
        <w:rFonts w:ascii="Wingdings" w:hAnsi="Wingdings" w:hint="default"/>
      </w:rPr>
    </w:lvl>
    <w:lvl w:ilvl="6" w:tplc="D0AAA826">
      <w:start w:val="1"/>
      <w:numFmt w:val="bullet"/>
      <w:lvlText w:val=""/>
      <w:lvlJc w:val="left"/>
      <w:pPr>
        <w:ind w:left="5040" w:hanging="360"/>
      </w:pPr>
      <w:rPr>
        <w:rFonts w:ascii="Symbol" w:hAnsi="Symbol" w:hint="default"/>
      </w:rPr>
    </w:lvl>
    <w:lvl w:ilvl="7" w:tplc="29786D7E">
      <w:start w:val="1"/>
      <w:numFmt w:val="bullet"/>
      <w:lvlText w:val="o"/>
      <w:lvlJc w:val="left"/>
      <w:pPr>
        <w:ind w:left="5760" w:hanging="360"/>
      </w:pPr>
      <w:rPr>
        <w:rFonts w:ascii="Courier New" w:hAnsi="Courier New" w:hint="default"/>
      </w:rPr>
    </w:lvl>
    <w:lvl w:ilvl="8" w:tplc="EC7607BA">
      <w:start w:val="1"/>
      <w:numFmt w:val="bullet"/>
      <w:lvlText w:val=""/>
      <w:lvlJc w:val="left"/>
      <w:pPr>
        <w:ind w:left="6480" w:hanging="360"/>
      </w:pPr>
      <w:rPr>
        <w:rFonts w:ascii="Wingdings" w:hAnsi="Wingdings" w:hint="default"/>
      </w:rPr>
    </w:lvl>
  </w:abstractNum>
  <w:abstractNum w:abstractNumId="3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87F6496"/>
    <w:multiLevelType w:val="hybridMultilevel"/>
    <w:tmpl w:val="AFCCC2A0"/>
    <w:lvl w:ilvl="0" w:tplc="174AF754">
      <w:start w:val="1"/>
      <w:numFmt w:val="bullet"/>
      <w:lvlText w:val=""/>
      <w:lvlJc w:val="left"/>
      <w:pPr>
        <w:ind w:left="720" w:hanging="360"/>
      </w:pPr>
      <w:rPr>
        <w:rFonts w:ascii="Symbol" w:hAnsi="Symbol" w:hint="default"/>
      </w:rPr>
    </w:lvl>
    <w:lvl w:ilvl="1" w:tplc="1BEEE4B8">
      <w:start w:val="1"/>
      <w:numFmt w:val="bullet"/>
      <w:lvlText w:val="o"/>
      <w:lvlJc w:val="left"/>
      <w:pPr>
        <w:ind w:left="1440" w:hanging="360"/>
      </w:pPr>
      <w:rPr>
        <w:rFonts w:ascii="Courier New" w:hAnsi="Courier New" w:hint="default"/>
      </w:rPr>
    </w:lvl>
    <w:lvl w:ilvl="2" w:tplc="2C925CC4">
      <w:start w:val="1"/>
      <w:numFmt w:val="bullet"/>
      <w:lvlText w:val=""/>
      <w:lvlJc w:val="left"/>
      <w:pPr>
        <w:ind w:left="2160" w:hanging="360"/>
      </w:pPr>
      <w:rPr>
        <w:rFonts w:ascii="Wingdings" w:hAnsi="Wingdings" w:hint="default"/>
      </w:rPr>
    </w:lvl>
    <w:lvl w:ilvl="3" w:tplc="5846EEC6">
      <w:start w:val="1"/>
      <w:numFmt w:val="bullet"/>
      <w:lvlText w:val=""/>
      <w:lvlJc w:val="left"/>
      <w:pPr>
        <w:ind w:left="2880" w:hanging="360"/>
      </w:pPr>
      <w:rPr>
        <w:rFonts w:ascii="Symbol" w:hAnsi="Symbol" w:hint="default"/>
      </w:rPr>
    </w:lvl>
    <w:lvl w:ilvl="4" w:tplc="A08CA490">
      <w:start w:val="1"/>
      <w:numFmt w:val="bullet"/>
      <w:lvlText w:val="o"/>
      <w:lvlJc w:val="left"/>
      <w:pPr>
        <w:ind w:left="3600" w:hanging="360"/>
      </w:pPr>
      <w:rPr>
        <w:rFonts w:ascii="Courier New" w:hAnsi="Courier New" w:hint="default"/>
      </w:rPr>
    </w:lvl>
    <w:lvl w:ilvl="5" w:tplc="CB3C7C22">
      <w:start w:val="1"/>
      <w:numFmt w:val="bullet"/>
      <w:lvlText w:val=""/>
      <w:lvlJc w:val="left"/>
      <w:pPr>
        <w:ind w:left="4320" w:hanging="360"/>
      </w:pPr>
      <w:rPr>
        <w:rFonts w:ascii="Wingdings" w:hAnsi="Wingdings" w:hint="default"/>
      </w:rPr>
    </w:lvl>
    <w:lvl w:ilvl="6" w:tplc="BB424A64">
      <w:start w:val="1"/>
      <w:numFmt w:val="bullet"/>
      <w:lvlText w:val=""/>
      <w:lvlJc w:val="left"/>
      <w:pPr>
        <w:ind w:left="5040" w:hanging="360"/>
      </w:pPr>
      <w:rPr>
        <w:rFonts w:ascii="Symbol" w:hAnsi="Symbol" w:hint="default"/>
      </w:rPr>
    </w:lvl>
    <w:lvl w:ilvl="7" w:tplc="714C02FE">
      <w:start w:val="1"/>
      <w:numFmt w:val="bullet"/>
      <w:lvlText w:val="o"/>
      <w:lvlJc w:val="left"/>
      <w:pPr>
        <w:ind w:left="5760" w:hanging="360"/>
      </w:pPr>
      <w:rPr>
        <w:rFonts w:ascii="Courier New" w:hAnsi="Courier New" w:hint="default"/>
      </w:rPr>
    </w:lvl>
    <w:lvl w:ilvl="8" w:tplc="13FC0452">
      <w:start w:val="1"/>
      <w:numFmt w:val="bullet"/>
      <w:lvlText w:val=""/>
      <w:lvlJc w:val="left"/>
      <w:pPr>
        <w:ind w:left="6480" w:hanging="360"/>
      </w:pPr>
      <w:rPr>
        <w:rFonts w:ascii="Wingdings" w:hAnsi="Wingdings" w:hint="default"/>
      </w:rPr>
    </w:lvl>
  </w:abstractNum>
  <w:abstractNum w:abstractNumId="3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D4B21DF"/>
    <w:multiLevelType w:val="hybridMultilevel"/>
    <w:tmpl w:val="D6924056"/>
    <w:lvl w:ilvl="0" w:tplc="9536CF52">
      <w:start w:val="1"/>
      <w:numFmt w:val="bullet"/>
      <w:lvlText w:val=""/>
      <w:lvlJc w:val="left"/>
      <w:pPr>
        <w:ind w:left="720" w:hanging="360"/>
      </w:pPr>
      <w:rPr>
        <w:rFonts w:ascii="Symbol" w:hAnsi="Symbol" w:hint="default"/>
      </w:rPr>
    </w:lvl>
    <w:lvl w:ilvl="1" w:tplc="3084B936">
      <w:start w:val="1"/>
      <w:numFmt w:val="bullet"/>
      <w:lvlText w:val="o"/>
      <w:lvlJc w:val="left"/>
      <w:pPr>
        <w:ind w:left="1440" w:hanging="360"/>
      </w:pPr>
      <w:rPr>
        <w:rFonts w:ascii="Courier New" w:hAnsi="Courier New" w:hint="default"/>
      </w:rPr>
    </w:lvl>
    <w:lvl w:ilvl="2" w:tplc="DC460ACE">
      <w:start w:val="1"/>
      <w:numFmt w:val="bullet"/>
      <w:lvlText w:val=""/>
      <w:lvlJc w:val="left"/>
      <w:pPr>
        <w:ind w:left="2160" w:hanging="360"/>
      </w:pPr>
      <w:rPr>
        <w:rFonts w:ascii="Wingdings" w:hAnsi="Wingdings" w:hint="default"/>
      </w:rPr>
    </w:lvl>
    <w:lvl w:ilvl="3" w:tplc="BFC8FCFA">
      <w:start w:val="1"/>
      <w:numFmt w:val="bullet"/>
      <w:lvlText w:val=""/>
      <w:lvlJc w:val="left"/>
      <w:pPr>
        <w:ind w:left="2880" w:hanging="360"/>
      </w:pPr>
      <w:rPr>
        <w:rFonts w:ascii="Symbol" w:hAnsi="Symbol" w:hint="default"/>
      </w:rPr>
    </w:lvl>
    <w:lvl w:ilvl="4" w:tplc="C8B2D32A">
      <w:start w:val="1"/>
      <w:numFmt w:val="bullet"/>
      <w:lvlText w:val="o"/>
      <w:lvlJc w:val="left"/>
      <w:pPr>
        <w:ind w:left="3600" w:hanging="360"/>
      </w:pPr>
      <w:rPr>
        <w:rFonts w:ascii="Courier New" w:hAnsi="Courier New" w:hint="default"/>
      </w:rPr>
    </w:lvl>
    <w:lvl w:ilvl="5" w:tplc="AE0A632E">
      <w:start w:val="1"/>
      <w:numFmt w:val="bullet"/>
      <w:lvlText w:val=""/>
      <w:lvlJc w:val="left"/>
      <w:pPr>
        <w:ind w:left="4320" w:hanging="360"/>
      </w:pPr>
      <w:rPr>
        <w:rFonts w:ascii="Wingdings" w:hAnsi="Wingdings" w:hint="default"/>
      </w:rPr>
    </w:lvl>
    <w:lvl w:ilvl="6" w:tplc="4ECC6AD0">
      <w:start w:val="1"/>
      <w:numFmt w:val="bullet"/>
      <w:lvlText w:val=""/>
      <w:lvlJc w:val="left"/>
      <w:pPr>
        <w:ind w:left="5040" w:hanging="360"/>
      </w:pPr>
      <w:rPr>
        <w:rFonts w:ascii="Symbol" w:hAnsi="Symbol" w:hint="default"/>
      </w:rPr>
    </w:lvl>
    <w:lvl w:ilvl="7" w:tplc="2856E8FC">
      <w:start w:val="1"/>
      <w:numFmt w:val="bullet"/>
      <w:lvlText w:val="o"/>
      <w:lvlJc w:val="left"/>
      <w:pPr>
        <w:ind w:left="5760" w:hanging="360"/>
      </w:pPr>
      <w:rPr>
        <w:rFonts w:ascii="Courier New" w:hAnsi="Courier New" w:hint="default"/>
      </w:rPr>
    </w:lvl>
    <w:lvl w:ilvl="8" w:tplc="AB50940C">
      <w:start w:val="1"/>
      <w:numFmt w:val="bullet"/>
      <w:lvlText w:val=""/>
      <w:lvlJc w:val="left"/>
      <w:pPr>
        <w:ind w:left="6480" w:hanging="360"/>
      </w:pPr>
      <w:rPr>
        <w:rFonts w:ascii="Wingdings" w:hAnsi="Wingdings" w:hint="default"/>
      </w:rPr>
    </w:lvl>
  </w:abstractNum>
  <w:num w:numId="1" w16cid:durableId="461462406">
    <w:abstractNumId w:val="29"/>
  </w:num>
  <w:num w:numId="2" w16cid:durableId="1023358928">
    <w:abstractNumId w:val="31"/>
  </w:num>
  <w:num w:numId="3" w16cid:durableId="2036880515">
    <w:abstractNumId w:val="14"/>
  </w:num>
  <w:num w:numId="4" w16cid:durableId="1420443067">
    <w:abstractNumId w:val="4"/>
  </w:num>
  <w:num w:numId="5" w16cid:durableId="919872527">
    <w:abstractNumId w:val="33"/>
  </w:num>
  <w:num w:numId="6" w16cid:durableId="1401636887">
    <w:abstractNumId w:val="10"/>
  </w:num>
  <w:num w:numId="7" w16cid:durableId="2002616293">
    <w:abstractNumId w:val="2"/>
  </w:num>
  <w:num w:numId="8" w16cid:durableId="804812148">
    <w:abstractNumId w:val="8"/>
  </w:num>
  <w:num w:numId="9" w16cid:durableId="745760952">
    <w:abstractNumId w:val="16"/>
  </w:num>
  <w:num w:numId="10" w16cid:durableId="2027902461">
    <w:abstractNumId w:val="12"/>
  </w:num>
  <w:num w:numId="11" w16cid:durableId="484667688">
    <w:abstractNumId w:val="6"/>
  </w:num>
  <w:num w:numId="12" w16cid:durableId="1283532071">
    <w:abstractNumId w:val="20"/>
  </w:num>
  <w:num w:numId="13" w16cid:durableId="936909847">
    <w:abstractNumId w:val="25"/>
  </w:num>
  <w:num w:numId="14" w16cid:durableId="384136752">
    <w:abstractNumId w:val="32"/>
  </w:num>
  <w:num w:numId="15" w16cid:durableId="1748916529">
    <w:abstractNumId w:val="24"/>
  </w:num>
  <w:num w:numId="16" w16cid:durableId="1033110946">
    <w:abstractNumId w:val="1"/>
  </w:num>
  <w:num w:numId="17" w16cid:durableId="865287650">
    <w:abstractNumId w:val="0"/>
  </w:num>
  <w:num w:numId="18" w16cid:durableId="347609036">
    <w:abstractNumId w:val="21"/>
  </w:num>
  <w:num w:numId="19" w16cid:durableId="590823375">
    <w:abstractNumId w:val="30"/>
  </w:num>
  <w:num w:numId="20" w16cid:durableId="60101353">
    <w:abstractNumId w:val="3"/>
  </w:num>
  <w:num w:numId="21" w16cid:durableId="1777170450">
    <w:abstractNumId w:val="19"/>
  </w:num>
  <w:num w:numId="22" w16cid:durableId="833298038">
    <w:abstractNumId w:val="17"/>
  </w:num>
  <w:num w:numId="23" w16cid:durableId="1960145756">
    <w:abstractNumId w:val="18"/>
  </w:num>
  <w:num w:numId="24" w16cid:durableId="1752893968">
    <w:abstractNumId w:val="22"/>
  </w:num>
  <w:num w:numId="25" w16cid:durableId="6796987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593845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54552787">
    <w:abstractNumId w:val="13"/>
  </w:num>
  <w:num w:numId="28" w16cid:durableId="1372262350">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65414988">
    <w:abstractNumId w:val="26"/>
  </w:num>
  <w:num w:numId="30" w16cid:durableId="859851281">
    <w:abstractNumId w:val="7"/>
  </w:num>
  <w:num w:numId="31" w16cid:durableId="73286164">
    <w:abstractNumId w:val="15"/>
  </w:num>
  <w:num w:numId="32" w16cid:durableId="1338187818">
    <w:abstractNumId w:val="23"/>
  </w:num>
  <w:num w:numId="33" w16cid:durableId="654454997">
    <w:abstractNumId w:val="5"/>
  </w:num>
  <w:num w:numId="34" w16cid:durableId="15855318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2F38"/>
    <w:rsid w:val="0000708C"/>
    <w:rsid w:val="000207A2"/>
    <w:rsid w:val="00055985"/>
    <w:rsid w:val="00056CDD"/>
    <w:rsid w:val="00060D2C"/>
    <w:rsid w:val="00062563"/>
    <w:rsid w:val="00067025"/>
    <w:rsid w:val="000766FD"/>
    <w:rsid w:val="000770AE"/>
    <w:rsid w:val="0008275B"/>
    <w:rsid w:val="0009140A"/>
    <w:rsid w:val="00094D95"/>
    <w:rsid w:val="0009502C"/>
    <w:rsid w:val="000A0A20"/>
    <w:rsid w:val="000A0B24"/>
    <w:rsid w:val="000A7E85"/>
    <w:rsid w:val="000B0FB1"/>
    <w:rsid w:val="000C0BAF"/>
    <w:rsid w:val="000C6DD8"/>
    <w:rsid w:val="000D7FD4"/>
    <w:rsid w:val="000F345C"/>
    <w:rsid w:val="0011115D"/>
    <w:rsid w:val="0011345F"/>
    <w:rsid w:val="001255FA"/>
    <w:rsid w:val="00125963"/>
    <w:rsid w:val="00127F65"/>
    <w:rsid w:val="00130345"/>
    <w:rsid w:val="00131291"/>
    <w:rsid w:val="00133B9C"/>
    <w:rsid w:val="00141B94"/>
    <w:rsid w:val="00142CC5"/>
    <w:rsid w:val="001572D6"/>
    <w:rsid w:val="00170A12"/>
    <w:rsid w:val="00174793"/>
    <w:rsid w:val="00175615"/>
    <w:rsid w:val="00186201"/>
    <w:rsid w:val="00186D1D"/>
    <w:rsid w:val="00191108"/>
    <w:rsid w:val="001965FC"/>
    <w:rsid w:val="001A78DD"/>
    <w:rsid w:val="001B7DE4"/>
    <w:rsid w:val="001D46E7"/>
    <w:rsid w:val="001D5F96"/>
    <w:rsid w:val="001E453F"/>
    <w:rsid w:val="001E5447"/>
    <w:rsid w:val="001F1DDC"/>
    <w:rsid w:val="001F5228"/>
    <w:rsid w:val="001F7706"/>
    <w:rsid w:val="00201678"/>
    <w:rsid w:val="00203D6A"/>
    <w:rsid w:val="0022305D"/>
    <w:rsid w:val="0022498A"/>
    <w:rsid w:val="00251750"/>
    <w:rsid w:val="00254DC7"/>
    <w:rsid w:val="0025534D"/>
    <w:rsid w:val="00260470"/>
    <w:rsid w:val="00260725"/>
    <w:rsid w:val="0026119B"/>
    <w:rsid w:val="00262977"/>
    <w:rsid w:val="00264B4D"/>
    <w:rsid w:val="00270673"/>
    <w:rsid w:val="00273184"/>
    <w:rsid w:val="00276F78"/>
    <w:rsid w:val="0028048C"/>
    <w:rsid w:val="00281CC7"/>
    <w:rsid w:val="00287EEA"/>
    <w:rsid w:val="00290F56"/>
    <w:rsid w:val="0029218A"/>
    <w:rsid w:val="00295211"/>
    <w:rsid w:val="002960D5"/>
    <w:rsid w:val="002A1A1E"/>
    <w:rsid w:val="002A5C15"/>
    <w:rsid w:val="002B0064"/>
    <w:rsid w:val="002B3A36"/>
    <w:rsid w:val="002B4142"/>
    <w:rsid w:val="002C5E9A"/>
    <w:rsid w:val="002C5FAB"/>
    <w:rsid w:val="002C6AC8"/>
    <w:rsid w:val="002C7CAE"/>
    <w:rsid w:val="002C7FF5"/>
    <w:rsid w:val="002F0EC0"/>
    <w:rsid w:val="002F2F2D"/>
    <w:rsid w:val="002F3BEF"/>
    <w:rsid w:val="00303C47"/>
    <w:rsid w:val="00311EF2"/>
    <w:rsid w:val="003122D5"/>
    <w:rsid w:val="00317288"/>
    <w:rsid w:val="00323710"/>
    <w:rsid w:val="00337F67"/>
    <w:rsid w:val="00341828"/>
    <w:rsid w:val="0034324F"/>
    <w:rsid w:val="003511E3"/>
    <w:rsid w:val="003528C0"/>
    <w:rsid w:val="0035528F"/>
    <w:rsid w:val="00361028"/>
    <w:rsid w:val="00370866"/>
    <w:rsid w:val="00382A9A"/>
    <w:rsid w:val="003840AD"/>
    <w:rsid w:val="0039576F"/>
    <w:rsid w:val="003B2633"/>
    <w:rsid w:val="003B7A2F"/>
    <w:rsid w:val="003C41DF"/>
    <w:rsid w:val="003D00FE"/>
    <w:rsid w:val="003D2232"/>
    <w:rsid w:val="003D3EB7"/>
    <w:rsid w:val="003E057A"/>
    <w:rsid w:val="003E1EF3"/>
    <w:rsid w:val="003F442B"/>
    <w:rsid w:val="004009A6"/>
    <w:rsid w:val="00403A04"/>
    <w:rsid w:val="00405269"/>
    <w:rsid w:val="004053F0"/>
    <w:rsid w:val="00411760"/>
    <w:rsid w:val="00414C3F"/>
    <w:rsid w:val="004217C4"/>
    <w:rsid w:val="00423905"/>
    <w:rsid w:val="004258D1"/>
    <w:rsid w:val="00425ADB"/>
    <w:rsid w:val="00436E61"/>
    <w:rsid w:val="0045070F"/>
    <w:rsid w:val="004522F6"/>
    <w:rsid w:val="00454BB2"/>
    <w:rsid w:val="00462B04"/>
    <w:rsid w:val="00463E52"/>
    <w:rsid w:val="004703E9"/>
    <w:rsid w:val="0047440B"/>
    <w:rsid w:val="004749B1"/>
    <w:rsid w:val="00475460"/>
    <w:rsid w:val="0047630D"/>
    <w:rsid w:val="00480672"/>
    <w:rsid w:val="00493F29"/>
    <w:rsid w:val="004A32F6"/>
    <w:rsid w:val="004D0610"/>
    <w:rsid w:val="004E0B96"/>
    <w:rsid w:val="004E7F0E"/>
    <w:rsid w:val="004F3F1D"/>
    <w:rsid w:val="005037B5"/>
    <w:rsid w:val="0051211B"/>
    <w:rsid w:val="00515D66"/>
    <w:rsid w:val="00522A87"/>
    <w:rsid w:val="00527177"/>
    <w:rsid w:val="00537AA0"/>
    <w:rsid w:val="00541A21"/>
    <w:rsid w:val="00542998"/>
    <w:rsid w:val="00546832"/>
    <w:rsid w:val="00553560"/>
    <w:rsid w:val="0056091C"/>
    <w:rsid w:val="00560C43"/>
    <w:rsid w:val="0058014C"/>
    <w:rsid w:val="00586992"/>
    <w:rsid w:val="005A0584"/>
    <w:rsid w:val="005A0801"/>
    <w:rsid w:val="005A0FC8"/>
    <w:rsid w:val="005A3161"/>
    <w:rsid w:val="005B32B8"/>
    <w:rsid w:val="005B6EB3"/>
    <w:rsid w:val="005B7848"/>
    <w:rsid w:val="005C023E"/>
    <w:rsid w:val="005C186B"/>
    <w:rsid w:val="005D6FFB"/>
    <w:rsid w:val="005F14FB"/>
    <w:rsid w:val="005F1741"/>
    <w:rsid w:val="005F68C4"/>
    <w:rsid w:val="005F6D3D"/>
    <w:rsid w:val="00600C15"/>
    <w:rsid w:val="00601A6F"/>
    <w:rsid w:val="00603289"/>
    <w:rsid w:val="00610FE6"/>
    <w:rsid w:val="00611DC4"/>
    <w:rsid w:val="006122B8"/>
    <w:rsid w:val="006158EF"/>
    <w:rsid w:val="006405E9"/>
    <w:rsid w:val="006629B4"/>
    <w:rsid w:val="006676D8"/>
    <w:rsid w:val="0067419C"/>
    <w:rsid w:val="006758FA"/>
    <w:rsid w:val="00681261"/>
    <w:rsid w:val="00682ACA"/>
    <w:rsid w:val="006A3AB0"/>
    <w:rsid w:val="006B4265"/>
    <w:rsid w:val="006D4070"/>
    <w:rsid w:val="00714690"/>
    <w:rsid w:val="007337DE"/>
    <w:rsid w:val="00741B7D"/>
    <w:rsid w:val="00745C24"/>
    <w:rsid w:val="00757BBC"/>
    <w:rsid w:val="0077463B"/>
    <w:rsid w:val="00776E2A"/>
    <w:rsid w:val="007821AB"/>
    <w:rsid w:val="00786320"/>
    <w:rsid w:val="007A445A"/>
    <w:rsid w:val="007A4817"/>
    <w:rsid w:val="007B2329"/>
    <w:rsid w:val="007B5F53"/>
    <w:rsid w:val="007B7E66"/>
    <w:rsid w:val="007C00E6"/>
    <w:rsid w:val="007C043B"/>
    <w:rsid w:val="007F1B85"/>
    <w:rsid w:val="007F4C2E"/>
    <w:rsid w:val="007F7EC5"/>
    <w:rsid w:val="00803BF5"/>
    <w:rsid w:val="008109D5"/>
    <w:rsid w:val="00827577"/>
    <w:rsid w:val="008316B9"/>
    <w:rsid w:val="008332AC"/>
    <w:rsid w:val="00841C32"/>
    <w:rsid w:val="0085066A"/>
    <w:rsid w:val="008631B6"/>
    <w:rsid w:val="00877BCD"/>
    <w:rsid w:val="00877F50"/>
    <w:rsid w:val="00880893"/>
    <w:rsid w:val="0088303C"/>
    <w:rsid w:val="00887F55"/>
    <w:rsid w:val="008A1FF5"/>
    <w:rsid w:val="008B27AF"/>
    <w:rsid w:val="008C00EC"/>
    <w:rsid w:val="008C428E"/>
    <w:rsid w:val="008D43EC"/>
    <w:rsid w:val="008D5089"/>
    <w:rsid w:val="008E0DCF"/>
    <w:rsid w:val="008F12D9"/>
    <w:rsid w:val="008F4E85"/>
    <w:rsid w:val="009072D7"/>
    <w:rsid w:val="00915D08"/>
    <w:rsid w:val="00922A8E"/>
    <w:rsid w:val="009255C1"/>
    <w:rsid w:val="00930415"/>
    <w:rsid w:val="009316D8"/>
    <w:rsid w:val="009327CF"/>
    <w:rsid w:val="00936802"/>
    <w:rsid w:val="00936D70"/>
    <w:rsid w:val="00945F48"/>
    <w:rsid w:val="00951771"/>
    <w:rsid w:val="0095505C"/>
    <w:rsid w:val="00955340"/>
    <w:rsid w:val="00957E88"/>
    <w:rsid w:val="00965FF1"/>
    <w:rsid w:val="00971FAC"/>
    <w:rsid w:val="009954F7"/>
    <w:rsid w:val="0099555D"/>
    <w:rsid w:val="009978C9"/>
    <w:rsid w:val="009B0F81"/>
    <w:rsid w:val="009C585C"/>
    <w:rsid w:val="009D550B"/>
    <w:rsid w:val="009D6C25"/>
    <w:rsid w:val="009E188B"/>
    <w:rsid w:val="009E4364"/>
    <w:rsid w:val="009E79EB"/>
    <w:rsid w:val="00A20A21"/>
    <w:rsid w:val="00A24148"/>
    <w:rsid w:val="00A2550B"/>
    <w:rsid w:val="00A35F83"/>
    <w:rsid w:val="00A42B41"/>
    <w:rsid w:val="00A42F26"/>
    <w:rsid w:val="00A52623"/>
    <w:rsid w:val="00A63BC9"/>
    <w:rsid w:val="00A6563D"/>
    <w:rsid w:val="00A73D48"/>
    <w:rsid w:val="00A93348"/>
    <w:rsid w:val="00A95566"/>
    <w:rsid w:val="00AA374F"/>
    <w:rsid w:val="00AB04EE"/>
    <w:rsid w:val="00AB2E12"/>
    <w:rsid w:val="00AB41FF"/>
    <w:rsid w:val="00AC786B"/>
    <w:rsid w:val="00AD1652"/>
    <w:rsid w:val="00AD3A14"/>
    <w:rsid w:val="00AD4FFF"/>
    <w:rsid w:val="00AF696A"/>
    <w:rsid w:val="00B05EFD"/>
    <w:rsid w:val="00B0793E"/>
    <w:rsid w:val="00B1717A"/>
    <w:rsid w:val="00B200A9"/>
    <w:rsid w:val="00B31295"/>
    <w:rsid w:val="00B424F8"/>
    <w:rsid w:val="00B45A77"/>
    <w:rsid w:val="00B66829"/>
    <w:rsid w:val="00B66D79"/>
    <w:rsid w:val="00B671D0"/>
    <w:rsid w:val="00B8238E"/>
    <w:rsid w:val="00B830C4"/>
    <w:rsid w:val="00B84B15"/>
    <w:rsid w:val="00B912D5"/>
    <w:rsid w:val="00BA70A3"/>
    <w:rsid w:val="00BB4C38"/>
    <w:rsid w:val="00BB6755"/>
    <w:rsid w:val="00BB76C2"/>
    <w:rsid w:val="00BC1176"/>
    <w:rsid w:val="00BC2D0A"/>
    <w:rsid w:val="00BC7443"/>
    <w:rsid w:val="00BD7CB3"/>
    <w:rsid w:val="00BE0CFA"/>
    <w:rsid w:val="00BF4E0C"/>
    <w:rsid w:val="00BF70C2"/>
    <w:rsid w:val="00C119C1"/>
    <w:rsid w:val="00C12728"/>
    <w:rsid w:val="00C2197E"/>
    <w:rsid w:val="00C249B7"/>
    <w:rsid w:val="00C277B5"/>
    <w:rsid w:val="00C4202B"/>
    <w:rsid w:val="00C47D06"/>
    <w:rsid w:val="00C54220"/>
    <w:rsid w:val="00C6235C"/>
    <w:rsid w:val="00C708F5"/>
    <w:rsid w:val="00C72FDD"/>
    <w:rsid w:val="00C8159F"/>
    <w:rsid w:val="00C9083F"/>
    <w:rsid w:val="00C93C23"/>
    <w:rsid w:val="00CA1CD7"/>
    <w:rsid w:val="00CA2E8E"/>
    <w:rsid w:val="00CA327C"/>
    <w:rsid w:val="00CA62B9"/>
    <w:rsid w:val="00CB5CE8"/>
    <w:rsid w:val="00CB62E2"/>
    <w:rsid w:val="00CB6939"/>
    <w:rsid w:val="00CC3724"/>
    <w:rsid w:val="00CD1D92"/>
    <w:rsid w:val="00CE1C04"/>
    <w:rsid w:val="00CF1A5E"/>
    <w:rsid w:val="00CF4385"/>
    <w:rsid w:val="00D12175"/>
    <w:rsid w:val="00D15C86"/>
    <w:rsid w:val="00D202CC"/>
    <w:rsid w:val="00D24DFB"/>
    <w:rsid w:val="00D42B41"/>
    <w:rsid w:val="00D45264"/>
    <w:rsid w:val="00D61EF4"/>
    <w:rsid w:val="00D65AC8"/>
    <w:rsid w:val="00D84B85"/>
    <w:rsid w:val="00D8644A"/>
    <w:rsid w:val="00D9324D"/>
    <w:rsid w:val="00DB5FDD"/>
    <w:rsid w:val="00DC2A19"/>
    <w:rsid w:val="00DC5214"/>
    <w:rsid w:val="00DC6B8D"/>
    <w:rsid w:val="00E0458F"/>
    <w:rsid w:val="00E14AED"/>
    <w:rsid w:val="00E26E01"/>
    <w:rsid w:val="00E53110"/>
    <w:rsid w:val="00E55CD1"/>
    <w:rsid w:val="00E611AD"/>
    <w:rsid w:val="00E63879"/>
    <w:rsid w:val="00E65CF2"/>
    <w:rsid w:val="00E744DA"/>
    <w:rsid w:val="00E75923"/>
    <w:rsid w:val="00E917F0"/>
    <w:rsid w:val="00EA01DC"/>
    <w:rsid w:val="00EA1E04"/>
    <w:rsid w:val="00EA28B1"/>
    <w:rsid w:val="00EA402D"/>
    <w:rsid w:val="00EB2FA1"/>
    <w:rsid w:val="00ED002F"/>
    <w:rsid w:val="00ED7723"/>
    <w:rsid w:val="00EF0A39"/>
    <w:rsid w:val="00EF6A1E"/>
    <w:rsid w:val="00F0496F"/>
    <w:rsid w:val="00F13347"/>
    <w:rsid w:val="00F23045"/>
    <w:rsid w:val="00F245C4"/>
    <w:rsid w:val="00F27DB8"/>
    <w:rsid w:val="00F306EA"/>
    <w:rsid w:val="00F36A1A"/>
    <w:rsid w:val="00F4595E"/>
    <w:rsid w:val="00F552B8"/>
    <w:rsid w:val="00F655C2"/>
    <w:rsid w:val="00F72BF2"/>
    <w:rsid w:val="00F842A4"/>
    <w:rsid w:val="00F85788"/>
    <w:rsid w:val="00F86D20"/>
    <w:rsid w:val="00F945E9"/>
    <w:rsid w:val="00FA161D"/>
    <w:rsid w:val="00FA4FAE"/>
    <w:rsid w:val="00FB6F5E"/>
    <w:rsid w:val="00FC00D1"/>
    <w:rsid w:val="00FD141D"/>
    <w:rsid w:val="00FD5220"/>
    <w:rsid w:val="00FE007E"/>
    <w:rsid w:val="00FE3285"/>
    <w:rsid w:val="00FF11BB"/>
    <w:rsid w:val="012CC425"/>
    <w:rsid w:val="01DC76E2"/>
    <w:rsid w:val="0E719950"/>
    <w:rsid w:val="0F87265C"/>
    <w:rsid w:val="1285C42E"/>
    <w:rsid w:val="17F8959E"/>
    <w:rsid w:val="1B2387AE"/>
    <w:rsid w:val="1B58A4B1"/>
    <w:rsid w:val="1CE49617"/>
    <w:rsid w:val="1D9F4E46"/>
    <w:rsid w:val="200E114E"/>
    <w:rsid w:val="2096B3D9"/>
    <w:rsid w:val="21485C4A"/>
    <w:rsid w:val="24FAA7A4"/>
    <w:rsid w:val="2577DBCC"/>
    <w:rsid w:val="25E20BA3"/>
    <w:rsid w:val="26EB0643"/>
    <w:rsid w:val="2BF5A3BC"/>
    <w:rsid w:val="2F76D59B"/>
    <w:rsid w:val="3090ECBF"/>
    <w:rsid w:val="32334FBC"/>
    <w:rsid w:val="3F8A6F1A"/>
    <w:rsid w:val="3FA95F37"/>
    <w:rsid w:val="474499D8"/>
    <w:rsid w:val="49BBFBC0"/>
    <w:rsid w:val="4EE721B4"/>
    <w:rsid w:val="4F10291B"/>
    <w:rsid w:val="50E66834"/>
    <w:rsid w:val="50FAC64E"/>
    <w:rsid w:val="536EC6B1"/>
    <w:rsid w:val="53BF180F"/>
    <w:rsid w:val="5EA5E61C"/>
    <w:rsid w:val="5FE621EA"/>
    <w:rsid w:val="6470F702"/>
    <w:rsid w:val="67394C50"/>
    <w:rsid w:val="67942204"/>
    <w:rsid w:val="694A1134"/>
    <w:rsid w:val="6A7509F1"/>
    <w:rsid w:val="6A948702"/>
    <w:rsid w:val="6F5A7494"/>
    <w:rsid w:val="71205D55"/>
    <w:rsid w:val="72DBE8C4"/>
    <w:rsid w:val="7502D87A"/>
    <w:rsid w:val="75A71E29"/>
    <w:rsid w:val="75FCE63F"/>
    <w:rsid w:val="7C0E6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Mention">
    <w:name w:val="Mention"/>
    <w:basedOn w:val="DefaultParagraphFont"/>
    <w:uiPriority w:val="99"/>
    <w:unhideWhenUsed/>
    <w:rsid w:val="0039576F"/>
    <w:rPr>
      <w:color w:val="2B579A"/>
      <w:shd w:val="clear" w:color="auto" w:fill="E1DFDD"/>
    </w:rPr>
  </w:style>
  <w:style w:type="character" w:styleId="UnresolvedMention">
    <w:name w:val="Unresolved Mention"/>
    <w:basedOn w:val="DefaultParagraphFont"/>
    <w:uiPriority w:val="99"/>
    <w:semiHidden/>
    <w:unhideWhenUsed/>
    <w:rsid w:val="0099555D"/>
    <w:rPr>
      <w:color w:val="605E5C"/>
      <w:shd w:val="clear" w:color="auto" w:fill="E1DFDD"/>
    </w:rPr>
  </w:style>
  <w:style w:type="character" w:customStyle="1" w:styleId="ui-provider">
    <w:name w:val="ui-provider"/>
    <w:basedOn w:val="DefaultParagraphFont"/>
    <w:rsid w:val="00971FAC"/>
  </w:style>
  <w:style w:type="character" w:styleId="Strong">
    <w:name w:val="Strong"/>
    <w:basedOn w:val="DefaultParagraphFont"/>
    <w:uiPriority w:val="22"/>
    <w:qFormat/>
    <w:rsid w:val="00EB2FA1"/>
    <w:rPr>
      <w:b/>
      <w:bCs/>
    </w:rPr>
  </w:style>
  <w:style w:type="paragraph" w:customStyle="1" w:styleId="pf0">
    <w:name w:val="pf0"/>
    <w:basedOn w:val="Normal"/>
    <w:rsid w:val="00337F67"/>
    <w:pPr>
      <w:widowControl/>
      <w:spacing w:before="100" w:beforeAutospacing="1" w:after="100" w:afterAutospacing="1"/>
    </w:pPr>
    <w:rPr>
      <w:rFonts w:ascii="Times New Roman" w:hAnsi="Times New Roman"/>
      <w:snapToGrid/>
      <w:szCs w:val="24"/>
    </w:rPr>
  </w:style>
  <w:style w:type="character" w:customStyle="1" w:styleId="cf01">
    <w:name w:val="cf01"/>
    <w:basedOn w:val="DefaultParagraphFont"/>
    <w:rsid w:val="00337F6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393624484">
      <w:bodyDiv w:val="1"/>
      <w:marLeft w:val="0"/>
      <w:marRight w:val="0"/>
      <w:marTop w:val="0"/>
      <w:marBottom w:val="0"/>
      <w:divBdr>
        <w:top w:val="none" w:sz="0" w:space="0" w:color="auto"/>
        <w:left w:val="none" w:sz="0" w:space="0" w:color="auto"/>
        <w:bottom w:val="none" w:sz="0" w:space="0" w:color="auto"/>
        <w:right w:val="none" w:sz="0" w:space="0" w:color="auto"/>
      </w:divBdr>
    </w:div>
    <w:div w:id="1398824080">
      <w:bodyDiv w:val="1"/>
      <w:marLeft w:val="0"/>
      <w:marRight w:val="0"/>
      <w:marTop w:val="0"/>
      <w:marBottom w:val="0"/>
      <w:divBdr>
        <w:top w:val="none" w:sz="0" w:space="0" w:color="auto"/>
        <w:left w:val="none" w:sz="0" w:space="0" w:color="auto"/>
        <w:bottom w:val="none" w:sz="0" w:space="0" w:color="auto"/>
        <w:right w:val="none" w:sz="0" w:space="0" w:color="auto"/>
      </w:divBdr>
      <w:divsChild>
        <w:div w:id="1738672942">
          <w:marLeft w:val="0"/>
          <w:marRight w:val="0"/>
          <w:marTop w:val="0"/>
          <w:marBottom w:val="0"/>
          <w:divBdr>
            <w:top w:val="none" w:sz="0" w:space="0" w:color="auto"/>
            <w:left w:val="none" w:sz="0" w:space="0" w:color="auto"/>
            <w:bottom w:val="none" w:sz="0" w:space="0" w:color="auto"/>
            <w:right w:val="none" w:sz="0" w:space="0" w:color="auto"/>
          </w:divBdr>
        </w:div>
        <w:div w:id="1875994118">
          <w:marLeft w:val="0"/>
          <w:marRight w:val="0"/>
          <w:marTop w:val="0"/>
          <w:marBottom w:val="0"/>
          <w:divBdr>
            <w:top w:val="none" w:sz="0" w:space="0" w:color="auto"/>
            <w:left w:val="none" w:sz="0" w:space="0" w:color="auto"/>
            <w:bottom w:val="none" w:sz="0" w:space="0" w:color="auto"/>
            <w:right w:val="none" w:sz="0" w:space="0" w:color="auto"/>
          </w:divBdr>
        </w:div>
        <w:div w:id="534926806">
          <w:marLeft w:val="0"/>
          <w:marRight w:val="0"/>
          <w:marTop w:val="0"/>
          <w:marBottom w:val="0"/>
          <w:divBdr>
            <w:top w:val="none" w:sz="0" w:space="0" w:color="auto"/>
            <w:left w:val="none" w:sz="0" w:space="0" w:color="auto"/>
            <w:bottom w:val="none" w:sz="0" w:space="0" w:color="auto"/>
            <w:right w:val="none" w:sz="0" w:space="0" w:color="auto"/>
          </w:divBdr>
        </w:div>
        <w:div w:id="256713125">
          <w:marLeft w:val="0"/>
          <w:marRight w:val="0"/>
          <w:marTop w:val="0"/>
          <w:marBottom w:val="0"/>
          <w:divBdr>
            <w:top w:val="none" w:sz="0" w:space="0" w:color="auto"/>
            <w:left w:val="none" w:sz="0" w:space="0" w:color="auto"/>
            <w:bottom w:val="none" w:sz="0" w:space="0" w:color="auto"/>
            <w:right w:val="none" w:sz="0" w:space="0" w:color="auto"/>
          </w:divBdr>
        </w:div>
        <w:div w:id="1501578704">
          <w:marLeft w:val="0"/>
          <w:marRight w:val="0"/>
          <w:marTop w:val="0"/>
          <w:marBottom w:val="0"/>
          <w:divBdr>
            <w:top w:val="none" w:sz="0" w:space="0" w:color="auto"/>
            <w:left w:val="none" w:sz="0" w:space="0" w:color="auto"/>
            <w:bottom w:val="none" w:sz="0" w:space="0" w:color="auto"/>
            <w:right w:val="none" w:sz="0" w:space="0" w:color="auto"/>
          </w:divBdr>
        </w:div>
        <w:div w:id="1780952031">
          <w:marLeft w:val="0"/>
          <w:marRight w:val="0"/>
          <w:marTop w:val="0"/>
          <w:marBottom w:val="0"/>
          <w:divBdr>
            <w:top w:val="none" w:sz="0" w:space="0" w:color="auto"/>
            <w:left w:val="none" w:sz="0" w:space="0" w:color="auto"/>
            <w:bottom w:val="none" w:sz="0" w:space="0" w:color="auto"/>
            <w:right w:val="none" w:sz="0" w:space="0" w:color="auto"/>
          </w:divBdr>
        </w:div>
        <w:div w:id="834301607">
          <w:marLeft w:val="0"/>
          <w:marRight w:val="0"/>
          <w:marTop w:val="0"/>
          <w:marBottom w:val="0"/>
          <w:divBdr>
            <w:top w:val="none" w:sz="0" w:space="0" w:color="auto"/>
            <w:left w:val="none" w:sz="0" w:space="0" w:color="auto"/>
            <w:bottom w:val="none" w:sz="0" w:space="0" w:color="auto"/>
            <w:right w:val="none" w:sz="0" w:space="0" w:color="auto"/>
          </w:divBdr>
        </w:div>
        <w:div w:id="835530907">
          <w:marLeft w:val="0"/>
          <w:marRight w:val="0"/>
          <w:marTop w:val="0"/>
          <w:marBottom w:val="0"/>
          <w:divBdr>
            <w:top w:val="none" w:sz="0" w:space="0" w:color="auto"/>
            <w:left w:val="none" w:sz="0" w:space="0" w:color="auto"/>
            <w:bottom w:val="none" w:sz="0" w:space="0" w:color="auto"/>
            <w:right w:val="none" w:sz="0" w:space="0" w:color="auto"/>
          </w:divBdr>
        </w:div>
        <w:div w:id="950552291">
          <w:marLeft w:val="0"/>
          <w:marRight w:val="0"/>
          <w:marTop w:val="0"/>
          <w:marBottom w:val="0"/>
          <w:divBdr>
            <w:top w:val="none" w:sz="0" w:space="0" w:color="auto"/>
            <w:left w:val="none" w:sz="0" w:space="0" w:color="auto"/>
            <w:bottom w:val="none" w:sz="0" w:space="0" w:color="auto"/>
            <w:right w:val="none" w:sz="0" w:space="0" w:color="auto"/>
          </w:divBdr>
        </w:div>
        <w:div w:id="341784827">
          <w:marLeft w:val="0"/>
          <w:marRight w:val="0"/>
          <w:marTop w:val="0"/>
          <w:marBottom w:val="0"/>
          <w:divBdr>
            <w:top w:val="none" w:sz="0" w:space="0" w:color="auto"/>
            <w:left w:val="none" w:sz="0" w:space="0" w:color="auto"/>
            <w:bottom w:val="none" w:sz="0" w:space="0" w:color="auto"/>
            <w:right w:val="none" w:sz="0" w:space="0" w:color="auto"/>
          </w:divBdr>
        </w:div>
        <w:div w:id="460615227">
          <w:marLeft w:val="0"/>
          <w:marRight w:val="0"/>
          <w:marTop w:val="0"/>
          <w:marBottom w:val="0"/>
          <w:divBdr>
            <w:top w:val="none" w:sz="0" w:space="0" w:color="auto"/>
            <w:left w:val="none" w:sz="0" w:space="0" w:color="auto"/>
            <w:bottom w:val="none" w:sz="0" w:space="0" w:color="auto"/>
            <w:right w:val="none" w:sz="0" w:space="0" w:color="auto"/>
          </w:divBdr>
        </w:div>
        <w:div w:id="1687174042">
          <w:marLeft w:val="0"/>
          <w:marRight w:val="0"/>
          <w:marTop w:val="0"/>
          <w:marBottom w:val="0"/>
          <w:divBdr>
            <w:top w:val="none" w:sz="0" w:space="0" w:color="auto"/>
            <w:left w:val="none" w:sz="0" w:space="0" w:color="auto"/>
            <w:bottom w:val="none" w:sz="0" w:space="0" w:color="auto"/>
            <w:right w:val="none" w:sz="0" w:space="0" w:color="auto"/>
          </w:divBdr>
        </w:div>
        <w:div w:id="250701563">
          <w:marLeft w:val="0"/>
          <w:marRight w:val="0"/>
          <w:marTop w:val="0"/>
          <w:marBottom w:val="0"/>
          <w:divBdr>
            <w:top w:val="none" w:sz="0" w:space="0" w:color="auto"/>
            <w:left w:val="none" w:sz="0" w:space="0" w:color="auto"/>
            <w:bottom w:val="none" w:sz="0" w:space="0" w:color="auto"/>
            <w:right w:val="none" w:sz="0" w:space="0" w:color="auto"/>
          </w:divBdr>
        </w:div>
        <w:div w:id="1581788055">
          <w:marLeft w:val="0"/>
          <w:marRight w:val="0"/>
          <w:marTop w:val="0"/>
          <w:marBottom w:val="0"/>
          <w:divBdr>
            <w:top w:val="none" w:sz="0" w:space="0" w:color="auto"/>
            <w:left w:val="none" w:sz="0" w:space="0" w:color="auto"/>
            <w:bottom w:val="none" w:sz="0" w:space="0" w:color="auto"/>
            <w:right w:val="none" w:sz="0" w:space="0" w:color="auto"/>
          </w:divBdr>
        </w:div>
      </w:divsChild>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55FC40910A97499718379A011D6F9E" ma:contentTypeVersion="18" ma:contentTypeDescription="Create a new document." ma:contentTypeScope="" ma:versionID="80226727f6eea9b09b9710ae2f59d051">
  <xsd:schema xmlns:xsd="http://www.w3.org/2001/XMLSchema" xmlns:xs="http://www.w3.org/2001/XMLSchema" xmlns:p="http://schemas.microsoft.com/office/2006/metadata/properties" xmlns:ns2="80ea7d17-5e86-4947-ba5c-c509add01b73" xmlns:ns3="3b5de7a6-99cc-4493-84b3-4c9bfc13d49d" targetNamespace="http://schemas.microsoft.com/office/2006/metadata/properties" ma:root="true" ma:fieldsID="27398c9e5d4a52133b5f8434f79c48fd" ns2:_="" ns3:_="">
    <xsd:import namespace="80ea7d17-5e86-4947-ba5c-c509add01b73"/>
    <xsd:import namespace="3b5de7a6-99cc-4493-84b3-4c9bfc13d4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a7d17-5e86-4947-ba5c-c509add01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9edf89-136b-452d-ae93-cff7665ed6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5de7a6-99cc-4493-84b3-4c9bfc13d49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62630a6-4b73-48d2-90a7-3221b92a4fe0}" ma:internalName="TaxCatchAll" ma:showField="CatchAllData" ma:web="3b5de7a6-99cc-4493-84b3-4c9bfc13d4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0ea7d17-5e86-4947-ba5c-c509add01b73">
      <Terms xmlns="http://schemas.microsoft.com/office/infopath/2007/PartnerControls"/>
    </lcf76f155ced4ddcb4097134ff3c332f>
    <TaxCatchAll xmlns="3b5de7a6-99cc-4493-84b3-4c9bfc13d49d" xsi:nil="true"/>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A600C097-1DE8-44CF-B962-C762FCFBB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a7d17-5e86-4947-ba5c-c509add01b73"/>
    <ds:schemaRef ds:uri="3b5de7a6-99cc-4493-84b3-4c9bfc13d4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 ds:uri="80ea7d17-5e86-4947-ba5c-c509add01b73"/>
    <ds:schemaRef ds:uri="3b5de7a6-99cc-4493-84b3-4c9bfc13d49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5440</Words>
  <Characters>32512</Characters>
  <Application>Microsoft Office Word</Application>
  <DocSecurity>0</DocSecurity>
  <Lines>270</Lines>
  <Paragraphs>75</Paragraphs>
  <ScaleCrop>false</ScaleCrop>
  <Company>State of Indiana</Company>
  <LinksUpToDate>false</LinksUpToDate>
  <CharactersWithSpaces>37877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2</cp:revision>
  <dcterms:created xsi:type="dcterms:W3CDTF">2024-05-14T19:17:00Z</dcterms:created>
  <dcterms:modified xsi:type="dcterms:W3CDTF">2024-05-14T19:17:00Z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0x010100D955FC40910A97499718379A011D6F9E</vt:lpwstr>
  </property>
  <property fmtid="{D5CDD505-2E9C-101B-9397-08002B2CF9AE}" pid="3" name="MediaServiceImageTags">
    <vt:lpwstr/>
  </property>
  <property fmtid="{D5CDD505-2E9C-101B-9397-08002B2CF9AE}" pid="4" name="GrammarlyDocumentId">
    <vt:lpwstr>38ae4ae1c79e96efd3c82bb8eb87aa228da622bd3bbeae9da98e9c5ca5bb19c8</vt:lpwstr>
  </property>
</Properties>
</file>